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0C7526" w14:textId="77777777" w:rsidR="00F02E05" w:rsidRDefault="00F02E05" w:rsidP="00733715"/>
    <w:p w14:paraId="2D0C7527" w14:textId="77777777" w:rsidR="003B7E08" w:rsidRDefault="003B7E08" w:rsidP="00857F9B">
      <w:pPr>
        <w:pStyle w:val="Title"/>
      </w:pPr>
      <w:r>
        <w:t>PRI Reporting Framework</w:t>
      </w:r>
    </w:p>
    <w:p w14:paraId="2D0C7528" w14:textId="095210FD" w:rsidR="00857F9B" w:rsidRDefault="003A1FCC" w:rsidP="00857F9B">
      <w:pPr>
        <w:pStyle w:val="Title"/>
      </w:pPr>
      <w:r>
        <w:t xml:space="preserve">2014/15 </w:t>
      </w:r>
      <w:r w:rsidR="004A5601">
        <w:t>Main definitions</w:t>
      </w:r>
    </w:p>
    <w:p w14:paraId="2D0C7529" w14:textId="77777777" w:rsidR="00857F9B" w:rsidRDefault="00857F9B" w:rsidP="00857F9B"/>
    <w:p w14:paraId="2D0C752A" w14:textId="77777777" w:rsidR="009C1D27" w:rsidRDefault="009C1D27" w:rsidP="00857F9B"/>
    <w:p w14:paraId="2D0C752B" w14:textId="77777777" w:rsidR="009C1D27" w:rsidRDefault="009C1D27" w:rsidP="00857F9B"/>
    <w:p w14:paraId="2D0C752C" w14:textId="77777777" w:rsidR="009C1D27" w:rsidRDefault="009C1D27" w:rsidP="00857F9B"/>
    <w:p w14:paraId="2D0C752D" w14:textId="77777777" w:rsidR="009C1D27" w:rsidRDefault="009C1D27" w:rsidP="00857F9B"/>
    <w:p w14:paraId="2D0C752E" w14:textId="77777777" w:rsidR="009C1D27" w:rsidRDefault="009C1D27" w:rsidP="00857F9B"/>
    <w:p w14:paraId="2D0C752F" w14:textId="77777777" w:rsidR="009C1D27" w:rsidRDefault="009C1D27" w:rsidP="00857F9B"/>
    <w:p w14:paraId="2D0C7530" w14:textId="77777777" w:rsidR="009C1D27" w:rsidRDefault="009C1D27" w:rsidP="00857F9B"/>
    <w:p w14:paraId="2D0C7531" w14:textId="54B55B89" w:rsidR="009C1D27" w:rsidRDefault="003A1FCC" w:rsidP="00857F9B">
      <w:r>
        <w:t>September 2014</w:t>
      </w:r>
    </w:p>
    <w:p w14:paraId="2D0C7532" w14:textId="77777777" w:rsidR="009C1D27" w:rsidRPr="009C1D27" w:rsidRDefault="006D6EDF" w:rsidP="009C1D27">
      <w:pPr>
        <w:rPr>
          <w:color w:val="0070C0"/>
          <w:u w:val="single"/>
        </w:rPr>
      </w:pPr>
      <w:hyperlink r:id="rId11" w:history="1">
        <w:r w:rsidR="009C1D27" w:rsidRPr="009C1D27">
          <w:rPr>
            <w:color w:val="0070C0"/>
            <w:u w:val="single"/>
          </w:rPr>
          <w:t>reporting@unpri.org</w:t>
        </w:r>
      </w:hyperlink>
    </w:p>
    <w:p w14:paraId="2D0C7533" w14:textId="4C857D59" w:rsidR="009C1D27" w:rsidRPr="009C1D27" w:rsidRDefault="009C1D27" w:rsidP="009C1D27">
      <w:r w:rsidRPr="009C1D27">
        <w:t xml:space="preserve">+44 (0) 20 </w:t>
      </w:r>
      <w:r w:rsidR="003A1FCC">
        <w:t>3714 318</w:t>
      </w:r>
      <w:r w:rsidR="009C6C6B">
        <w:t>7</w:t>
      </w:r>
    </w:p>
    <w:p w14:paraId="2D0C7534" w14:textId="77777777" w:rsidR="009C1D27" w:rsidRDefault="009C1D27">
      <w:pPr>
        <w:widowControl/>
        <w:autoSpaceDE/>
        <w:autoSpaceDN/>
        <w:adjustRightInd/>
        <w:spacing w:before="0" w:after="0" w:line="240" w:lineRule="auto"/>
      </w:pPr>
      <w:r>
        <w:br w:type="page"/>
      </w:r>
    </w:p>
    <w:sdt>
      <w:sdtPr>
        <w:rPr>
          <w:rFonts w:ascii="Arial" w:hAnsi="Arial" w:cs="Arial"/>
          <w:bCs w:val="0"/>
          <w:color w:val="auto"/>
          <w:sz w:val="20"/>
          <w:szCs w:val="20"/>
        </w:rPr>
        <w:id w:val="20408675"/>
        <w:docPartObj>
          <w:docPartGallery w:val="Table of Contents"/>
          <w:docPartUnique/>
        </w:docPartObj>
      </w:sdtPr>
      <w:sdtEndPr/>
      <w:sdtContent>
        <w:p w14:paraId="2D0C7535" w14:textId="77777777" w:rsidR="00B610B4" w:rsidRPr="00436283" w:rsidRDefault="00B610B4" w:rsidP="00B610B4">
          <w:pPr>
            <w:pStyle w:val="TOCHeading"/>
            <w:rPr>
              <w:rFonts w:ascii="Arial" w:hAnsi="Arial" w:cs="Arial"/>
            </w:rPr>
          </w:pPr>
          <w:r w:rsidRPr="00436283">
            <w:rPr>
              <w:rFonts w:ascii="Arial" w:hAnsi="Arial" w:cs="Arial"/>
            </w:rPr>
            <w:t>Table of Contents</w:t>
          </w:r>
        </w:p>
        <w:p w14:paraId="2D0C7536" w14:textId="77777777" w:rsidR="002069BF" w:rsidRDefault="002069BF" w:rsidP="00482AC7">
          <w:pPr>
            <w:pStyle w:val="TOC1"/>
          </w:pPr>
        </w:p>
        <w:p w14:paraId="2D0C7537" w14:textId="77777777" w:rsidR="004A5601" w:rsidRDefault="00445C1D" w:rsidP="00482AC7">
          <w:pPr>
            <w:pStyle w:val="TOC1"/>
            <w:rPr>
              <w:rFonts w:asciiTheme="minorHAnsi" w:eastAsiaTheme="minorEastAsia" w:hAnsiTheme="minorHAnsi" w:cstheme="minorBidi"/>
              <w:sz w:val="22"/>
              <w:szCs w:val="22"/>
              <w:lang w:eastAsia="en-GB"/>
            </w:rPr>
          </w:pPr>
          <w:r>
            <w:fldChar w:fldCharType="begin"/>
          </w:r>
          <w:r w:rsidR="00B610B4">
            <w:instrText xml:space="preserve"> TOC \o "1-3" \h \z \u </w:instrText>
          </w:r>
          <w:r>
            <w:fldChar w:fldCharType="separate"/>
          </w:r>
          <w:hyperlink w:anchor="_Toc366083400" w:history="1">
            <w:r w:rsidR="004A5601" w:rsidRPr="00AD31DA">
              <w:rPr>
                <w:rStyle w:val="Hyperlink"/>
              </w:rPr>
              <w:t>Introduction</w:t>
            </w:r>
            <w:r w:rsidR="004A5601">
              <w:rPr>
                <w:webHidden/>
              </w:rPr>
              <w:tab/>
            </w:r>
            <w:r w:rsidR="004A5601">
              <w:rPr>
                <w:webHidden/>
              </w:rPr>
              <w:fldChar w:fldCharType="begin"/>
            </w:r>
            <w:r w:rsidR="004A5601">
              <w:rPr>
                <w:webHidden/>
              </w:rPr>
              <w:instrText xml:space="preserve"> PAGEREF _Toc366083400 \h </w:instrText>
            </w:r>
            <w:r w:rsidR="004A5601">
              <w:rPr>
                <w:webHidden/>
              </w:rPr>
            </w:r>
            <w:r w:rsidR="004A5601">
              <w:rPr>
                <w:webHidden/>
              </w:rPr>
              <w:fldChar w:fldCharType="separate"/>
            </w:r>
            <w:r w:rsidR="00ED4553">
              <w:rPr>
                <w:webHidden/>
              </w:rPr>
              <w:t>3</w:t>
            </w:r>
            <w:r w:rsidR="004A5601">
              <w:rPr>
                <w:webHidden/>
              </w:rPr>
              <w:fldChar w:fldCharType="end"/>
            </w:r>
          </w:hyperlink>
        </w:p>
        <w:p w14:paraId="2D0C7538" w14:textId="77777777" w:rsidR="004A5601" w:rsidRDefault="006D6EDF" w:rsidP="00482AC7">
          <w:pPr>
            <w:pStyle w:val="TOC1"/>
            <w:rPr>
              <w:rFonts w:asciiTheme="minorHAnsi" w:eastAsiaTheme="minorEastAsia" w:hAnsiTheme="minorHAnsi" w:cstheme="minorBidi"/>
              <w:sz w:val="22"/>
              <w:szCs w:val="22"/>
              <w:lang w:eastAsia="en-GB"/>
            </w:rPr>
          </w:pPr>
          <w:hyperlink w:anchor="_Toc366083401" w:history="1">
            <w:r w:rsidR="004A5601" w:rsidRPr="00AD31DA">
              <w:rPr>
                <w:rStyle w:val="Hyperlink"/>
              </w:rPr>
              <w:t>ESG issues</w:t>
            </w:r>
            <w:r w:rsidR="004A5601">
              <w:rPr>
                <w:webHidden/>
              </w:rPr>
              <w:tab/>
            </w:r>
            <w:r w:rsidR="004A5601">
              <w:rPr>
                <w:webHidden/>
              </w:rPr>
              <w:fldChar w:fldCharType="begin"/>
            </w:r>
            <w:r w:rsidR="004A5601">
              <w:rPr>
                <w:webHidden/>
              </w:rPr>
              <w:instrText xml:space="preserve"> PAGEREF _Toc366083401 \h </w:instrText>
            </w:r>
            <w:r w:rsidR="004A5601">
              <w:rPr>
                <w:webHidden/>
              </w:rPr>
            </w:r>
            <w:r w:rsidR="004A5601">
              <w:rPr>
                <w:webHidden/>
              </w:rPr>
              <w:fldChar w:fldCharType="separate"/>
            </w:r>
            <w:r w:rsidR="00ED4553">
              <w:rPr>
                <w:webHidden/>
              </w:rPr>
              <w:t>4</w:t>
            </w:r>
            <w:r w:rsidR="004A5601">
              <w:rPr>
                <w:webHidden/>
              </w:rPr>
              <w:fldChar w:fldCharType="end"/>
            </w:r>
          </w:hyperlink>
        </w:p>
        <w:p w14:paraId="2D0C7539" w14:textId="77777777" w:rsidR="004A5601" w:rsidRDefault="006D6EDF" w:rsidP="00482AC7">
          <w:pPr>
            <w:pStyle w:val="TOC1"/>
            <w:rPr>
              <w:rFonts w:asciiTheme="minorHAnsi" w:eastAsiaTheme="minorEastAsia" w:hAnsiTheme="minorHAnsi" w:cstheme="minorBidi"/>
              <w:sz w:val="22"/>
              <w:szCs w:val="22"/>
              <w:lang w:eastAsia="en-GB"/>
            </w:rPr>
          </w:pPr>
          <w:hyperlink w:anchor="_Toc366083402" w:history="1">
            <w:r w:rsidR="004A5601" w:rsidRPr="00AD31DA">
              <w:rPr>
                <w:rStyle w:val="Hyperlink"/>
              </w:rPr>
              <w:t>Active/ Passive investments</w:t>
            </w:r>
            <w:r w:rsidR="004A5601">
              <w:rPr>
                <w:webHidden/>
              </w:rPr>
              <w:tab/>
            </w:r>
            <w:r w:rsidR="004A5601">
              <w:rPr>
                <w:webHidden/>
              </w:rPr>
              <w:fldChar w:fldCharType="begin"/>
            </w:r>
            <w:r w:rsidR="004A5601">
              <w:rPr>
                <w:webHidden/>
              </w:rPr>
              <w:instrText xml:space="preserve"> PAGEREF _Toc366083402 \h </w:instrText>
            </w:r>
            <w:r w:rsidR="004A5601">
              <w:rPr>
                <w:webHidden/>
              </w:rPr>
            </w:r>
            <w:r w:rsidR="004A5601">
              <w:rPr>
                <w:webHidden/>
              </w:rPr>
              <w:fldChar w:fldCharType="separate"/>
            </w:r>
            <w:r w:rsidR="00ED4553">
              <w:rPr>
                <w:webHidden/>
              </w:rPr>
              <w:t>5</w:t>
            </w:r>
            <w:r w:rsidR="004A5601">
              <w:rPr>
                <w:webHidden/>
              </w:rPr>
              <w:fldChar w:fldCharType="end"/>
            </w:r>
          </w:hyperlink>
        </w:p>
        <w:p w14:paraId="2D0C753A" w14:textId="77777777" w:rsidR="004A5601" w:rsidRDefault="006D6EDF" w:rsidP="00482AC7">
          <w:pPr>
            <w:pStyle w:val="TOC1"/>
            <w:rPr>
              <w:rFonts w:asciiTheme="minorHAnsi" w:eastAsiaTheme="minorEastAsia" w:hAnsiTheme="minorHAnsi" w:cstheme="minorBidi"/>
              <w:sz w:val="22"/>
              <w:szCs w:val="22"/>
              <w:lang w:eastAsia="en-GB"/>
            </w:rPr>
          </w:pPr>
          <w:hyperlink w:anchor="_Toc366083403" w:history="1">
            <w:r w:rsidR="004A5601" w:rsidRPr="00AD31DA">
              <w:rPr>
                <w:rStyle w:val="Hyperlink"/>
              </w:rPr>
              <w:t>ESG incorporation</w:t>
            </w:r>
            <w:r w:rsidR="004A5601">
              <w:rPr>
                <w:webHidden/>
              </w:rPr>
              <w:tab/>
            </w:r>
            <w:r w:rsidR="004A5601">
              <w:rPr>
                <w:webHidden/>
              </w:rPr>
              <w:fldChar w:fldCharType="begin"/>
            </w:r>
            <w:r w:rsidR="004A5601">
              <w:rPr>
                <w:webHidden/>
              </w:rPr>
              <w:instrText xml:space="preserve"> PAGEREF _Toc366083403 \h </w:instrText>
            </w:r>
            <w:r w:rsidR="004A5601">
              <w:rPr>
                <w:webHidden/>
              </w:rPr>
            </w:r>
            <w:r w:rsidR="004A5601">
              <w:rPr>
                <w:webHidden/>
              </w:rPr>
              <w:fldChar w:fldCharType="separate"/>
            </w:r>
            <w:r w:rsidR="00ED4553">
              <w:rPr>
                <w:webHidden/>
              </w:rPr>
              <w:t>6</w:t>
            </w:r>
            <w:r w:rsidR="004A5601">
              <w:rPr>
                <w:webHidden/>
              </w:rPr>
              <w:fldChar w:fldCharType="end"/>
            </w:r>
          </w:hyperlink>
        </w:p>
        <w:p w14:paraId="2D0C753B" w14:textId="77777777" w:rsidR="004A5601" w:rsidRDefault="006D6EDF" w:rsidP="00482AC7">
          <w:pPr>
            <w:pStyle w:val="TOC1"/>
            <w:rPr>
              <w:rFonts w:asciiTheme="minorHAnsi" w:eastAsiaTheme="minorEastAsia" w:hAnsiTheme="minorHAnsi" w:cstheme="minorBidi"/>
              <w:sz w:val="22"/>
              <w:szCs w:val="22"/>
              <w:lang w:eastAsia="en-GB"/>
            </w:rPr>
          </w:pPr>
          <w:hyperlink w:anchor="_Toc366083404" w:history="1">
            <w:r w:rsidR="004A5601" w:rsidRPr="00AD31DA">
              <w:rPr>
                <w:rStyle w:val="Hyperlink"/>
              </w:rPr>
              <w:t>Active ownership and engagement</w:t>
            </w:r>
            <w:r w:rsidR="004A5601">
              <w:rPr>
                <w:webHidden/>
              </w:rPr>
              <w:tab/>
            </w:r>
            <w:r w:rsidR="004A5601">
              <w:rPr>
                <w:webHidden/>
              </w:rPr>
              <w:fldChar w:fldCharType="begin"/>
            </w:r>
            <w:r w:rsidR="004A5601">
              <w:rPr>
                <w:webHidden/>
              </w:rPr>
              <w:instrText xml:space="preserve"> PAGEREF _Toc366083404 \h </w:instrText>
            </w:r>
            <w:r w:rsidR="004A5601">
              <w:rPr>
                <w:webHidden/>
              </w:rPr>
            </w:r>
            <w:r w:rsidR="004A5601">
              <w:rPr>
                <w:webHidden/>
              </w:rPr>
              <w:fldChar w:fldCharType="separate"/>
            </w:r>
            <w:r w:rsidR="00ED4553">
              <w:rPr>
                <w:webHidden/>
              </w:rPr>
              <w:t>9</w:t>
            </w:r>
            <w:r w:rsidR="004A5601">
              <w:rPr>
                <w:webHidden/>
              </w:rPr>
              <w:fldChar w:fldCharType="end"/>
            </w:r>
          </w:hyperlink>
        </w:p>
        <w:p w14:paraId="2D0C753C" w14:textId="77777777" w:rsidR="00B610B4" w:rsidRDefault="00445C1D" w:rsidP="00B610B4">
          <w:r>
            <w:fldChar w:fldCharType="end"/>
          </w:r>
        </w:p>
      </w:sdtContent>
    </w:sdt>
    <w:p w14:paraId="2D0C753D" w14:textId="77777777" w:rsidR="00070AC3" w:rsidRDefault="00070AC3" w:rsidP="00B610B4"/>
    <w:p w14:paraId="2D0C753E" w14:textId="77777777" w:rsidR="00070AC3" w:rsidRDefault="00070AC3" w:rsidP="00B610B4"/>
    <w:p w14:paraId="2D0C753F" w14:textId="77777777" w:rsidR="00B610B4" w:rsidRPr="00D93C4C" w:rsidRDefault="00B610B4" w:rsidP="00B610B4">
      <w:pPr>
        <w:rPr>
          <w:b/>
          <w:bCs/>
          <w:color w:val="008CD0"/>
        </w:rPr>
      </w:pPr>
    </w:p>
    <w:p w14:paraId="2D0C7540" w14:textId="77777777" w:rsidR="00070AC3" w:rsidRDefault="00070AC3">
      <w:pPr>
        <w:widowControl/>
        <w:autoSpaceDE/>
        <w:autoSpaceDN/>
        <w:adjustRightInd/>
        <w:spacing w:before="0" w:after="0" w:line="240" w:lineRule="auto"/>
        <w:rPr>
          <w:rStyle w:val="Heading1Char"/>
        </w:rPr>
      </w:pPr>
      <w:bookmarkStart w:id="0" w:name="_Toc366083400"/>
      <w:bookmarkStart w:id="1" w:name="_Toc360179574"/>
      <w:r>
        <w:rPr>
          <w:rStyle w:val="Heading1Char"/>
        </w:rPr>
        <w:br w:type="page"/>
      </w:r>
    </w:p>
    <w:p w14:paraId="2D0C7541" w14:textId="77777777" w:rsidR="004A5601" w:rsidRPr="00CB44C6" w:rsidRDefault="004A5601" w:rsidP="004A5601">
      <w:pPr>
        <w:ind w:left="357" w:hanging="357"/>
        <w:rPr>
          <w:rStyle w:val="Heading1Char"/>
        </w:rPr>
      </w:pPr>
      <w:r>
        <w:rPr>
          <w:rStyle w:val="Heading1Char"/>
        </w:rPr>
        <w:lastRenderedPageBreak/>
        <w:t>Introduction</w:t>
      </w:r>
      <w:bookmarkEnd w:id="0"/>
    </w:p>
    <w:p w14:paraId="5FB243D0" w14:textId="5CE9B009" w:rsidR="009C6C6B" w:rsidRDefault="009B7423" w:rsidP="005A3724">
      <w:pPr>
        <w:rPr>
          <w:rStyle w:val="Heading1Char"/>
        </w:rPr>
      </w:pPr>
      <w:r>
        <w:t>This document presents some of the main and most frequently used definitions in the PRI Reporting Framework. These definitions are presented here as their use is either frequent and/or key for preparing to report</w:t>
      </w:r>
      <w:r w:rsidR="00436283">
        <w:t>,</w:t>
      </w:r>
      <w:r>
        <w:t xml:space="preserve"> as well as to understand the reported information by other signatories.</w:t>
      </w:r>
      <w:r w:rsidR="00D302C5">
        <w:t xml:space="preserve"> </w:t>
      </w:r>
      <w:r>
        <w:t xml:space="preserve">In the offline version of the Reporting Framework, you will not find these definitions repeated in each indicator, so it is key that you look at these general definitions here.  </w:t>
      </w:r>
    </w:p>
    <w:p w14:paraId="3C40955F" w14:textId="743DF369" w:rsidR="009C6C6B" w:rsidRPr="0009136C" w:rsidRDefault="009C6C6B" w:rsidP="005A3724">
      <w:r w:rsidRPr="0009136C">
        <w:rPr>
          <w:b/>
          <w:color w:val="0050A6"/>
          <w:sz w:val="32"/>
          <w:szCs w:val="36"/>
        </w:rPr>
        <w:t>Summary of updates</w:t>
      </w:r>
    </w:p>
    <w:p w14:paraId="14AF211A" w14:textId="320B2BF1" w:rsidR="009C6C6B" w:rsidRPr="005A3724" w:rsidRDefault="009C6C6B" w:rsidP="005A3724">
      <w:pPr>
        <w:pStyle w:val="INDICATORTEXT"/>
        <w:spacing w:line="276" w:lineRule="auto"/>
        <w:ind w:left="0"/>
        <w:rPr>
          <w:rFonts w:eastAsia="MS PGothic"/>
          <w:color w:val="auto"/>
          <w:sz w:val="20"/>
        </w:rPr>
      </w:pPr>
      <w:r w:rsidRPr="005A3724">
        <w:rPr>
          <w:rFonts w:eastAsia="MS PGothic"/>
          <w:color w:val="auto"/>
          <w:sz w:val="20"/>
        </w:rPr>
        <w:t xml:space="preserve">The Reporting Framework has not changed significantly since 2013-14. </w:t>
      </w:r>
      <w:r w:rsidR="00CA064C">
        <w:rPr>
          <w:rFonts w:eastAsia="MS PGothic"/>
          <w:color w:val="auto"/>
          <w:sz w:val="20"/>
        </w:rPr>
        <w:t>Within this document, t</w:t>
      </w:r>
      <w:r>
        <w:rPr>
          <w:rFonts w:eastAsia="MS PGothic"/>
          <w:color w:val="auto"/>
          <w:sz w:val="20"/>
        </w:rPr>
        <w:t xml:space="preserve">he definitions for collaborative engagements and passive investing have been clarified, but the intended meaning of these terms has not changed.  </w:t>
      </w:r>
    </w:p>
    <w:p w14:paraId="2D0C7543" w14:textId="61A53330" w:rsidR="004A5601" w:rsidRDefault="004A5601">
      <w:pPr>
        <w:widowControl/>
        <w:autoSpaceDE/>
        <w:autoSpaceDN/>
        <w:adjustRightInd/>
        <w:spacing w:before="0" w:after="0" w:line="240" w:lineRule="auto"/>
        <w:rPr>
          <w:rStyle w:val="Heading1Char"/>
        </w:rPr>
      </w:pPr>
    </w:p>
    <w:p w14:paraId="548B77A1" w14:textId="77777777" w:rsidR="009C6C6B" w:rsidRDefault="009C6C6B">
      <w:pPr>
        <w:widowControl/>
        <w:autoSpaceDE/>
        <w:autoSpaceDN/>
        <w:adjustRightInd/>
        <w:spacing w:before="0" w:after="0" w:line="240" w:lineRule="auto"/>
        <w:rPr>
          <w:rStyle w:val="Heading1Char"/>
        </w:rPr>
      </w:pPr>
      <w:bookmarkStart w:id="2" w:name="_Toc366083401"/>
      <w:r>
        <w:rPr>
          <w:rStyle w:val="Heading1Char"/>
        </w:rPr>
        <w:br w:type="page"/>
      </w:r>
    </w:p>
    <w:p w14:paraId="2D0C7544" w14:textId="1B3B7F33" w:rsidR="00B610B4" w:rsidRPr="00CB44C6" w:rsidRDefault="00B22BF8" w:rsidP="00B610B4">
      <w:pPr>
        <w:ind w:left="357" w:hanging="357"/>
        <w:rPr>
          <w:rStyle w:val="Heading1Char"/>
        </w:rPr>
      </w:pPr>
      <w:r>
        <w:rPr>
          <w:rStyle w:val="Heading1Char"/>
        </w:rPr>
        <w:lastRenderedPageBreak/>
        <w:t>ESG</w:t>
      </w:r>
      <w:r w:rsidR="00B610B4" w:rsidRPr="00CB44C6">
        <w:rPr>
          <w:rStyle w:val="Heading1Char"/>
        </w:rPr>
        <w:t xml:space="preserve"> issues</w:t>
      </w:r>
      <w:bookmarkEnd w:id="1"/>
      <w:bookmarkEnd w:id="2"/>
    </w:p>
    <w:tbl>
      <w:tblPr>
        <w:tblStyle w:val="SubSectionMISCTableMANDATORY"/>
        <w:tblW w:w="9134" w:type="dxa"/>
        <w:tblInd w:w="5" w:type="dxa"/>
        <w:tblLayout w:type="fixed"/>
        <w:tblLook w:val="06A0" w:firstRow="1" w:lastRow="0" w:firstColumn="1" w:lastColumn="0" w:noHBand="1" w:noVBand="1"/>
      </w:tblPr>
      <w:tblGrid>
        <w:gridCol w:w="2127"/>
        <w:gridCol w:w="7007"/>
      </w:tblGrid>
      <w:tr w:rsidR="00B22BF8" w:rsidRPr="00CF025D" w14:paraId="2D0C7547" w14:textId="77777777" w:rsidTr="005A372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127" w:type="dxa"/>
            <w:tcBorders>
              <w:top w:val="single" w:sz="4" w:space="0" w:color="0082C8"/>
              <w:bottom w:val="nil"/>
              <w:right w:val="single" w:sz="4" w:space="0" w:color="F2F2F2" w:themeColor="background1" w:themeShade="F2"/>
            </w:tcBorders>
            <w:shd w:val="clear" w:color="auto" w:fill="00B0F0"/>
          </w:tcPr>
          <w:p w14:paraId="2D0C7545" w14:textId="77777777" w:rsidR="00B22BF8" w:rsidRPr="00B22BF8" w:rsidRDefault="00B22BF8" w:rsidP="00B22BF8">
            <w:pPr>
              <w:pStyle w:val="SectionIndicatorHeaderBOLD"/>
              <w:rPr>
                <w:b w:val="0"/>
                <w:i/>
              </w:rPr>
            </w:pPr>
            <w:r w:rsidRPr="00B22BF8">
              <w:rPr>
                <w:rStyle w:val="IntenseEmphasis"/>
                <w:b/>
                <w:i w:val="0"/>
                <w:color w:val="FFFFFF" w:themeColor="background1"/>
              </w:rPr>
              <w:t>Definition</w:t>
            </w:r>
          </w:p>
        </w:tc>
        <w:tc>
          <w:tcPr>
            <w:tcW w:w="7007" w:type="dxa"/>
            <w:tcBorders>
              <w:top w:val="single" w:sz="4" w:space="0" w:color="0082C8"/>
              <w:left w:val="single" w:sz="4" w:space="0" w:color="F2F2F2" w:themeColor="background1" w:themeShade="F2"/>
              <w:bottom w:val="nil"/>
              <w:right w:val="single" w:sz="4" w:space="0" w:color="0070C0"/>
            </w:tcBorders>
            <w:shd w:val="clear" w:color="auto" w:fill="0070C0"/>
          </w:tcPr>
          <w:p w14:paraId="2D0C7546" w14:textId="77777777" w:rsidR="00B22BF8" w:rsidRPr="00B22BF8" w:rsidRDefault="00B22BF8" w:rsidP="00B22BF8">
            <w:pPr>
              <w:pStyle w:val="SectionIndicatorHeaderBOLD"/>
              <w:cnfStyle w:val="100000000000" w:firstRow="1" w:lastRow="0" w:firstColumn="0" w:lastColumn="0" w:oddVBand="0" w:evenVBand="0" w:oddHBand="0" w:evenHBand="0" w:firstRowFirstColumn="0" w:firstRowLastColumn="0" w:lastRowFirstColumn="0" w:lastRowLastColumn="0"/>
              <w:rPr>
                <w:b w:val="0"/>
                <w:i/>
              </w:rPr>
            </w:pPr>
            <w:r w:rsidRPr="00B22BF8">
              <w:rPr>
                <w:rStyle w:val="IntenseEmphasis"/>
                <w:b/>
                <w:i w:val="0"/>
                <w:color w:val="FFFFFF" w:themeColor="background1"/>
              </w:rPr>
              <w:t>ENVIRONMENT, SOCIAL AND GOVERNANCE ISSUES</w:t>
            </w:r>
          </w:p>
        </w:tc>
      </w:tr>
      <w:tr w:rsidR="00B610B4" w:rsidRPr="00CF025D" w14:paraId="2D0C754A" w14:textId="77777777" w:rsidTr="129BBAA7">
        <w:tc>
          <w:tcPr>
            <w:cnfStyle w:val="001000000000" w:firstRow="0" w:lastRow="0" w:firstColumn="1" w:lastColumn="0" w:oddVBand="0" w:evenVBand="0" w:oddHBand="0" w:evenHBand="0" w:firstRowFirstColumn="0" w:firstRowLastColumn="0" w:lastRowFirstColumn="0" w:lastRowLastColumn="0"/>
            <w:tcW w:w="9134" w:type="dxa"/>
            <w:gridSpan w:val="2"/>
            <w:tcBorders>
              <w:top w:val="nil"/>
              <w:bottom w:val="single" w:sz="4" w:space="0" w:color="A6A6A6" w:themeColor="background1" w:themeShade="A6"/>
              <w:right w:val="single" w:sz="4" w:space="0" w:color="0070C0"/>
            </w:tcBorders>
            <w:shd w:val="clear" w:color="auto" w:fill="auto"/>
          </w:tcPr>
          <w:p w14:paraId="2D0C7548" w14:textId="77777777" w:rsidR="00B610B4" w:rsidRPr="00415CDE" w:rsidRDefault="00B610B4" w:rsidP="00C23AE8">
            <w:pPr>
              <w:pStyle w:val="INDICATORTEXT"/>
              <w:jc w:val="both"/>
            </w:pPr>
            <w:r w:rsidRPr="00415CDE">
              <w:t>A definitive list of environmental, social and governance (ESG) issues does not exist.  It would not be possible or desirable to produce a list, or a set of definitions, that claimed to be exhaustive or definitive. Any such list would inevitably be incomplete and would soon be out of date.</w:t>
            </w:r>
          </w:p>
          <w:p w14:paraId="2D0C7549" w14:textId="77777777" w:rsidR="00B610B4" w:rsidRPr="00D93C4C" w:rsidRDefault="00B610B4" w:rsidP="00C23AE8">
            <w:pPr>
              <w:pStyle w:val="INDICATORTEXT"/>
              <w:jc w:val="both"/>
            </w:pPr>
            <w:r w:rsidRPr="00415CDE">
              <w:t>Nonetheless, the table below provides examples of ESG issues, for guidance purposes. This is intended primarily for signatories who are relatively new to responsible investment and to the PRI.  Some modules (e.g. Property) provides examples of ESG issues that are specific to that  sector or asset class.</w:t>
            </w:r>
          </w:p>
        </w:tc>
      </w:tr>
      <w:tr w:rsidR="00B610B4" w:rsidRPr="00CF025D" w14:paraId="2D0C754D" w14:textId="77777777" w:rsidTr="005A3724">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A6A6A6" w:themeColor="background1" w:themeShade="A6"/>
              <w:bottom w:val="single" w:sz="4" w:space="0" w:color="A6A6A6" w:themeColor="background1" w:themeShade="A6"/>
              <w:right w:val="single" w:sz="4" w:space="0" w:color="595959" w:themeColor="text1" w:themeTint="A6"/>
            </w:tcBorders>
            <w:shd w:val="clear" w:color="auto" w:fill="D9D9D9" w:themeFill="background1" w:themeFillShade="D9"/>
          </w:tcPr>
          <w:p w14:paraId="2D0C754B" w14:textId="77777777" w:rsidR="00B610B4" w:rsidRPr="00D93C4C" w:rsidRDefault="00B610B4" w:rsidP="00C23AE8">
            <w:pPr>
              <w:pStyle w:val="INDICATORNUMBER"/>
              <w:spacing w:before="80"/>
              <w:rPr>
                <w:rFonts w:ascii="Alright Sans Regular" w:hAnsi="Alright Sans Regular"/>
              </w:rPr>
            </w:pPr>
            <w:r w:rsidRPr="00D93C4C">
              <w:rPr>
                <w:rFonts w:ascii="Alright Sans Regular" w:hAnsi="Alright Sans Regular"/>
              </w:rPr>
              <w:t>Environmental (E)</w:t>
            </w:r>
          </w:p>
        </w:tc>
        <w:tc>
          <w:tcPr>
            <w:tcW w:w="7007" w:type="dxa"/>
            <w:tcBorders>
              <w:top w:val="single" w:sz="4" w:space="0" w:color="A6A6A6" w:themeColor="background1" w:themeShade="A6"/>
              <w:left w:val="single" w:sz="4" w:space="0" w:color="595959" w:themeColor="text1" w:themeTint="A6"/>
              <w:bottom w:val="single" w:sz="4" w:space="0" w:color="A6A6A6" w:themeColor="background1" w:themeShade="A6"/>
              <w:right w:val="single" w:sz="4" w:space="0" w:color="0070C0"/>
            </w:tcBorders>
            <w:shd w:val="clear" w:color="auto" w:fill="auto"/>
          </w:tcPr>
          <w:p w14:paraId="2D0C754C" w14:textId="21DAD9D5" w:rsidR="00B610B4" w:rsidRPr="00D93C4C" w:rsidRDefault="00B610B4" w:rsidP="00C23AE8">
            <w:pPr>
              <w:pStyle w:val="INDICATORTEXT"/>
              <w:jc w:val="both"/>
              <w:cnfStyle w:val="000000000000" w:firstRow="0" w:lastRow="0" w:firstColumn="0" w:lastColumn="0" w:oddVBand="0" w:evenVBand="0" w:oddHBand="0" w:evenHBand="0" w:firstRowFirstColumn="0" w:firstRowLastColumn="0" w:lastRowFirstColumn="0" w:lastRowLastColumn="0"/>
              <w:rPr>
                <w:szCs w:val="18"/>
              </w:rPr>
            </w:pPr>
            <w:r w:rsidRPr="004140B5">
              <w:t>Issues relating to the quality and functioning of the natural environment and natural systems.  These include: biodiversity loss; greenhouse gas (GHG) emissions, climate change, rene</w:t>
            </w:r>
            <w:r w:rsidR="00436283" w:rsidRPr="004140B5">
              <w:t>wable energy, energy efficiency</w:t>
            </w:r>
            <w:r w:rsidRPr="005A3724">
              <w:t>, air, water or resource depletion o</w:t>
            </w:r>
            <w:r w:rsidR="00436283" w:rsidRPr="005A3724">
              <w:t>r  pollution</w:t>
            </w:r>
            <w:r w:rsidR="55DBD5BB" w:rsidRPr="005A3724">
              <w:t>,</w:t>
            </w:r>
            <w:r w:rsidR="00436283" w:rsidRPr="004140B5">
              <w:t xml:space="preserve">  waste management</w:t>
            </w:r>
            <w:r w:rsidR="1739AECC" w:rsidRPr="004140B5">
              <w:t>,</w:t>
            </w:r>
            <w:r w:rsidRPr="005A3724">
              <w:t xml:space="preserve"> stratospheric ozone depletion</w:t>
            </w:r>
            <w:r w:rsidR="1739AECC" w:rsidRPr="005A3724">
              <w:t>,</w:t>
            </w:r>
            <w:r w:rsidRPr="005A3724">
              <w:t xml:space="preserve"> changes in land use</w:t>
            </w:r>
            <w:r w:rsidR="1739AECC" w:rsidRPr="005A3724">
              <w:t>,</w:t>
            </w:r>
            <w:r w:rsidRPr="005A3724">
              <w:t xml:space="preserve"> ocean acidification and changes to the nitrogen and phosphorus cycles.</w:t>
            </w:r>
          </w:p>
        </w:tc>
      </w:tr>
      <w:tr w:rsidR="00B610B4" w:rsidRPr="00CF025D" w14:paraId="2D0C7550" w14:textId="77777777" w:rsidTr="005A3724">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A6A6A6" w:themeColor="background1" w:themeShade="A6"/>
              <w:bottom w:val="single" w:sz="4" w:space="0" w:color="A6A6A6" w:themeColor="background1" w:themeShade="A6"/>
            </w:tcBorders>
            <w:shd w:val="clear" w:color="auto" w:fill="D9D9D9" w:themeFill="background1" w:themeFillShade="D9"/>
          </w:tcPr>
          <w:p w14:paraId="2D0C754E" w14:textId="77777777" w:rsidR="00B610B4" w:rsidRPr="00D93C4C" w:rsidRDefault="00B610B4" w:rsidP="00C23AE8">
            <w:pPr>
              <w:pStyle w:val="INDICATORNUMBER"/>
              <w:spacing w:before="80"/>
              <w:rPr>
                <w:rFonts w:ascii="Alright Sans Regular" w:hAnsi="Alright Sans Regular"/>
              </w:rPr>
            </w:pPr>
            <w:r w:rsidRPr="00D93C4C">
              <w:rPr>
                <w:rFonts w:ascii="Alright Sans Regular" w:hAnsi="Alright Sans Regular"/>
              </w:rPr>
              <w:t>Social (S)</w:t>
            </w:r>
          </w:p>
        </w:tc>
        <w:tc>
          <w:tcPr>
            <w:tcW w:w="7007" w:type="dxa"/>
            <w:tcBorders>
              <w:top w:val="single" w:sz="4" w:space="0" w:color="A6A6A6" w:themeColor="background1" w:themeShade="A6"/>
              <w:bottom w:val="single" w:sz="4" w:space="0" w:color="A6A6A6" w:themeColor="background1" w:themeShade="A6"/>
              <w:right w:val="single" w:sz="4" w:space="0" w:color="0070C0"/>
            </w:tcBorders>
          </w:tcPr>
          <w:p w14:paraId="2D0C754F" w14:textId="77777777" w:rsidR="00B610B4" w:rsidRPr="00D93C4C" w:rsidRDefault="00B610B4" w:rsidP="002069BF">
            <w:pPr>
              <w:pStyle w:val="INDICATORTEXT"/>
              <w:jc w:val="both"/>
              <w:cnfStyle w:val="000000000000" w:firstRow="0" w:lastRow="0" w:firstColumn="0" w:lastColumn="0" w:oddVBand="0" w:evenVBand="0" w:oddHBand="0" w:evenHBand="0" w:firstRowFirstColumn="0" w:firstRowLastColumn="0" w:lastRowFirstColumn="0" w:lastRowLastColumn="0"/>
              <w:rPr>
                <w:szCs w:val="18"/>
              </w:rPr>
            </w:pPr>
            <w:r w:rsidRPr="00D93C4C">
              <w:rPr>
                <w:szCs w:val="18"/>
              </w:rPr>
              <w:t>Issues relating to the rights, well-being and interests of people and communities.  These include: human rights,  labour standards in the supply chain, child, slave and bonded labour, workplace health and</w:t>
            </w:r>
            <w:r w:rsidR="00436283">
              <w:rPr>
                <w:szCs w:val="18"/>
              </w:rPr>
              <w:t xml:space="preserve"> safety, freedom of association</w:t>
            </w:r>
            <w:r w:rsidRPr="00D93C4C">
              <w:rPr>
                <w:szCs w:val="18"/>
              </w:rPr>
              <w:t xml:space="preserve"> and freedom of expression, human capital management and employee relations; diversity;</w:t>
            </w:r>
            <w:r w:rsidR="002069BF">
              <w:rPr>
                <w:szCs w:val="18"/>
              </w:rPr>
              <w:t xml:space="preserve"> </w:t>
            </w:r>
            <w:r w:rsidRPr="00D93C4C">
              <w:rPr>
                <w:szCs w:val="18"/>
              </w:rPr>
              <w:t>relations with local communities, activities in conflict zones, health and access to medicine, HIV/AIDS, consumer protection; and controversial weapons.</w:t>
            </w:r>
          </w:p>
        </w:tc>
      </w:tr>
      <w:tr w:rsidR="00B610B4" w:rsidRPr="00CF025D" w14:paraId="2D0C7554" w14:textId="77777777" w:rsidTr="005A3724">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A6A6A6" w:themeColor="background1" w:themeShade="A6"/>
              <w:bottom w:val="single" w:sz="4" w:space="0" w:color="A6A6A6" w:themeColor="background1" w:themeShade="A6"/>
            </w:tcBorders>
            <w:shd w:val="clear" w:color="auto" w:fill="D9D9D9" w:themeFill="background1" w:themeFillShade="D9"/>
          </w:tcPr>
          <w:p w14:paraId="2D0C7551" w14:textId="77777777" w:rsidR="00B610B4" w:rsidRPr="00D93C4C" w:rsidRDefault="00B610B4" w:rsidP="00C23AE8">
            <w:pPr>
              <w:pStyle w:val="INDICATORNUMBER"/>
              <w:spacing w:before="80"/>
              <w:rPr>
                <w:rFonts w:ascii="Alright Sans Regular" w:hAnsi="Alright Sans Regular"/>
              </w:rPr>
            </w:pPr>
            <w:r w:rsidRPr="00D93C4C">
              <w:rPr>
                <w:rFonts w:ascii="Alright Sans Regular" w:hAnsi="Alright Sans Regular"/>
              </w:rPr>
              <w:t>Governance (G)</w:t>
            </w:r>
          </w:p>
        </w:tc>
        <w:tc>
          <w:tcPr>
            <w:tcW w:w="7007" w:type="dxa"/>
            <w:tcBorders>
              <w:top w:val="single" w:sz="4" w:space="0" w:color="A6A6A6" w:themeColor="background1" w:themeShade="A6"/>
              <w:bottom w:val="single" w:sz="4" w:space="0" w:color="A6A6A6" w:themeColor="background1" w:themeShade="A6"/>
              <w:right w:val="single" w:sz="4" w:space="0" w:color="0070C0"/>
            </w:tcBorders>
            <w:shd w:val="clear" w:color="auto" w:fill="auto"/>
          </w:tcPr>
          <w:p w14:paraId="2D0C7552" w14:textId="7A92B218" w:rsidR="00B610B4" w:rsidRPr="00D93C4C" w:rsidRDefault="00B610B4" w:rsidP="00C23AE8">
            <w:pPr>
              <w:pStyle w:val="INDICATORTEXT"/>
              <w:jc w:val="both"/>
              <w:cnfStyle w:val="000000000000" w:firstRow="0" w:lastRow="0" w:firstColumn="0" w:lastColumn="0" w:oddVBand="0" w:evenVBand="0" w:oddHBand="0" w:evenHBand="0" w:firstRowFirstColumn="0" w:firstRowLastColumn="0" w:lastRowFirstColumn="0" w:lastRowLastColumn="0"/>
              <w:rPr>
                <w:szCs w:val="18"/>
              </w:rPr>
            </w:pPr>
            <w:r w:rsidRPr="004140B5">
              <w:t>Issues relating to the governance of companies and other investee entities.  In the listed equity context these include: board structure, size, diversity, skills and independence</w:t>
            </w:r>
            <w:r w:rsidR="5181BFCE" w:rsidRPr="004140B5">
              <w:t>,</w:t>
            </w:r>
            <w:r w:rsidRPr="004140B5">
              <w:t xml:space="preserve"> executive pay</w:t>
            </w:r>
            <w:r w:rsidR="5181BFCE" w:rsidRPr="004140B5">
              <w:t>,</w:t>
            </w:r>
            <w:r w:rsidRPr="004140B5">
              <w:t xml:space="preserve"> shareholder rights</w:t>
            </w:r>
            <w:r w:rsidR="5181BFCE" w:rsidRPr="004140B5">
              <w:t>,</w:t>
            </w:r>
            <w:r w:rsidRPr="004140B5">
              <w:t xml:space="preserve"> stakeholder interaction</w:t>
            </w:r>
            <w:r w:rsidR="5181BFCE" w:rsidRPr="004140B5">
              <w:t>,</w:t>
            </w:r>
            <w:r w:rsidRPr="004140B5">
              <w:t xml:space="preserve"> disclosure of information</w:t>
            </w:r>
            <w:r w:rsidR="5181BFCE" w:rsidRPr="004140B5">
              <w:t>,</w:t>
            </w:r>
            <w:r w:rsidRPr="004140B5">
              <w:t xml:space="preserve"> business ethics</w:t>
            </w:r>
            <w:r w:rsidR="5181BFCE" w:rsidRPr="004140B5">
              <w:t>,</w:t>
            </w:r>
            <w:r w:rsidRPr="004140B5">
              <w:t xml:space="preserve"> bribery and corruption</w:t>
            </w:r>
            <w:r w:rsidR="129BBAA7" w:rsidRPr="004140B5">
              <w:t>,</w:t>
            </w:r>
            <w:r w:rsidRPr="004140B5">
              <w:t xml:space="preserve"> internal controls and risk management</w:t>
            </w:r>
            <w:r w:rsidR="129BBAA7" w:rsidRPr="005A3724">
              <w:t>,</w:t>
            </w:r>
            <w:r w:rsidRPr="004140B5">
              <w:t xml:space="preserve"> and, in general, issues dealing with the relationship between a company’s management, its board, its shareholders and its other stakeholders. This categ</w:t>
            </w:r>
            <w:r w:rsidRPr="005A3724">
              <w:t>ory may also include matters of business strategy, encompassing both the implications of business strategy for environmental and social issues, and how the strategy is to be implemented.</w:t>
            </w:r>
          </w:p>
          <w:p w14:paraId="2D0C7553" w14:textId="77777777" w:rsidR="00B610B4" w:rsidRPr="00D93C4C" w:rsidRDefault="00B610B4" w:rsidP="00142F46">
            <w:pPr>
              <w:pStyle w:val="INDICATORTEXT"/>
              <w:jc w:val="both"/>
              <w:cnfStyle w:val="000000000000" w:firstRow="0" w:lastRow="0" w:firstColumn="0" w:lastColumn="0" w:oddVBand="0" w:evenVBand="0" w:oddHBand="0" w:evenHBand="0" w:firstRowFirstColumn="0" w:firstRowLastColumn="0" w:lastRowFirstColumn="0" w:lastRowLastColumn="0"/>
              <w:rPr>
                <w:szCs w:val="18"/>
              </w:rPr>
            </w:pPr>
            <w:r w:rsidRPr="00D93C4C">
              <w:rPr>
                <w:szCs w:val="18"/>
              </w:rPr>
              <w:t xml:space="preserve">In the unlisted </w:t>
            </w:r>
            <w:r w:rsidR="00142F46">
              <w:rPr>
                <w:szCs w:val="18"/>
              </w:rPr>
              <w:t>asset classes</w:t>
            </w:r>
            <w:r w:rsidR="00142F46" w:rsidRPr="00D93C4C">
              <w:rPr>
                <w:szCs w:val="18"/>
              </w:rPr>
              <w:t xml:space="preserve"> </w:t>
            </w:r>
            <w:r w:rsidRPr="00D93C4C">
              <w:rPr>
                <w:szCs w:val="18"/>
              </w:rPr>
              <w:t>governance issues also include matters of fund governance, such as the powers of Advisory Committees, valuation issues, fee structures, etc.</w:t>
            </w:r>
          </w:p>
        </w:tc>
      </w:tr>
      <w:tr w:rsidR="00B610B4" w:rsidRPr="00CF025D" w14:paraId="2D0C755A" w14:textId="77777777" w:rsidTr="005A3724">
        <w:tc>
          <w:tcPr>
            <w:cnfStyle w:val="001000000000" w:firstRow="0" w:lastRow="0" w:firstColumn="1" w:lastColumn="0" w:oddVBand="0" w:evenVBand="0" w:oddHBand="0" w:evenHBand="0" w:firstRowFirstColumn="0" w:firstRowLastColumn="0" w:lastRowFirstColumn="0" w:lastRowLastColumn="0"/>
            <w:tcW w:w="9134" w:type="dxa"/>
            <w:gridSpan w:val="2"/>
            <w:tcBorders>
              <w:top w:val="single" w:sz="4" w:space="0" w:color="A6A6A6" w:themeColor="background1" w:themeShade="A6"/>
              <w:bottom w:val="single" w:sz="4" w:space="0" w:color="0082C8"/>
              <w:right w:val="single" w:sz="4" w:space="0" w:color="0070C0"/>
            </w:tcBorders>
            <w:shd w:val="clear" w:color="auto" w:fill="auto"/>
          </w:tcPr>
          <w:p w14:paraId="2D0C7555" w14:textId="77777777" w:rsidR="00B610B4" w:rsidRPr="00415CDE" w:rsidRDefault="00B610B4" w:rsidP="00C23AE8">
            <w:pPr>
              <w:pStyle w:val="INDICATORTEXT"/>
              <w:jc w:val="both"/>
              <w:rPr>
                <w:szCs w:val="18"/>
              </w:rPr>
            </w:pPr>
            <w:r w:rsidRPr="00415CDE">
              <w:rPr>
                <w:szCs w:val="18"/>
              </w:rPr>
              <w:t>Numerous organisations and projects have identified ESG issues by sector, together with associated key performance indicators.   Examples include:</w:t>
            </w:r>
          </w:p>
          <w:p w14:paraId="2D0C7556" w14:textId="77777777" w:rsidR="00B610B4" w:rsidRPr="00315350" w:rsidRDefault="00B610B4" w:rsidP="00B610B4">
            <w:pPr>
              <w:pStyle w:val="INDICATORTEXT"/>
              <w:numPr>
                <w:ilvl w:val="0"/>
                <w:numId w:val="53"/>
              </w:numPr>
              <w:jc w:val="both"/>
              <w:rPr>
                <w:color w:val="0070C0"/>
                <w:szCs w:val="18"/>
                <w:u w:val="single"/>
              </w:rPr>
            </w:pPr>
            <w:r w:rsidRPr="00415CDE">
              <w:rPr>
                <w:szCs w:val="18"/>
              </w:rPr>
              <w:t xml:space="preserve">The European Federation of Financial Analysts Societies (EFFAS): </w:t>
            </w:r>
            <w:hyperlink r:id="rId12" w:history="1">
              <w:r w:rsidRPr="00315350">
                <w:rPr>
                  <w:color w:val="0070C0"/>
                  <w:szCs w:val="18"/>
                  <w:u w:val="single"/>
                </w:rPr>
                <w:t>KPIs for ESG - A Guideline for the Integration of ESG into Financial Analysis and Corporate Valuation</w:t>
              </w:r>
            </w:hyperlink>
          </w:p>
          <w:p w14:paraId="2D0C7557" w14:textId="77777777" w:rsidR="005372F3" w:rsidRDefault="00B610B4" w:rsidP="005372F3">
            <w:pPr>
              <w:pStyle w:val="INDICATORTEXT"/>
              <w:numPr>
                <w:ilvl w:val="0"/>
                <w:numId w:val="53"/>
              </w:numPr>
              <w:jc w:val="both"/>
              <w:rPr>
                <w:color w:val="0070C0"/>
                <w:szCs w:val="18"/>
                <w:u w:val="single"/>
              </w:rPr>
            </w:pPr>
            <w:r w:rsidRPr="00415CDE">
              <w:rPr>
                <w:szCs w:val="18"/>
              </w:rPr>
              <w:t xml:space="preserve">The CFA Institute: </w:t>
            </w:r>
            <w:hyperlink r:id="rId13" w:history="1">
              <w:r w:rsidRPr="00315350">
                <w:rPr>
                  <w:color w:val="0070C0"/>
                  <w:szCs w:val="18"/>
                  <w:u w:val="single"/>
                </w:rPr>
                <w:t>Environmental, Social and Governance Factors at Listed Companies - A Manual for Investors</w:t>
              </w:r>
            </w:hyperlink>
          </w:p>
          <w:p w14:paraId="2D0C7558" w14:textId="77777777" w:rsidR="00B610B4" w:rsidRPr="005372F3" w:rsidRDefault="00B610B4" w:rsidP="005372F3">
            <w:pPr>
              <w:pStyle w:val="INDICATORTEXT"/>
              <w:numPr>
                <w:ilvl w:val="0"/>
                <w:numId w:val="53"/>
              </w:numPr>
              <w:jc w:val="both"/>
              <w:rPr>
                <w:color w:val="0070C0"/>
                <w:szCs w:val="18"/>
                <w:u w:val="single"/>
              </w:rPr>
            </w:pPr>
            <w:r w:rsidRPr="005372F3">
              <w:rPr>
                <w:szCs w:val="18"/>
              </w:rPr>
              <w:t xml:space="preserve">UNEP FI and WBCSD: </w:t>
            </w:r>
            <w:hyperlink r:id="rId14" w:history="1">
              <w:r w:rsidRPr="005372F3">
                <w:rPr>
                  <w:color w:val="0070C0"/>
                  <w:szCs w:val="18"/>
                  <w:u w:val="single"/>
                </w:rPr>
                <w:t>Translating environmental, social and governance factors into business value</w:t>
              </w:r>
            </w:hyperlink>
          </w:p>
          <w:p w14:paraId="2D0C7559" w14:textId="77777777" w:rsidR="00B610B4" w:rsidRPr="00D93C4C" w:rsidRDefault="00B610B4" w:rsidP="00C23AE8">
            <w:pPr>
              <w:pStyle w:val="INDICATORTEXT"/>
              <w:jc w:val="both"/>
              <w:rPr>
                <w:szCs w:val="18"/>
              </w:rPr>
            </w:pPr>
            <w:r w:rsidRPr="00415CDE">
              <w:rPr>
                <w:szCs w:val="18"/>
              </w:rPr>
              <w:t>ESG research providers and brokers are also well placed to provide advice in this area.</w:t>
            </w:r>
          </w:p>
        </w:tc>
      </w:tr>
    </w:tbl>
    <w:p w14:paraId="2D0C755B" w14:textId="77777777" w:rsidR="00B610B4" w:rsidRPr="00D93C4C" w:rsidRDefault="00B610B4" w:rsidP="00B610B4"/>
    <w:p w14:paraId="2D0C755C" w14:textId="77777777" w:rsidR="00B610B4" w:rsidRDefault="00B610B4" w:rsidP="00B610B4">
      <w:pPr>
        <w:widowControl/>
        <w:autoSpaceDE/>
        <w:autoSpaceDN/>
        <w:adjustRightInd/>
        <w:spacing w:after="0" w:line="240" w:lineRule="auto"/>
      </w:pPr>
      <w:r>
        <w:br w:type="page"/>
      </w:r>
    </w:p>
    <w:p w14:paraId="2D0C755D" w14:textId="77777777" w:rsidR="00001885" w:rsidRDefault="00001885" w:rsidP="00B610B4">
      <w:pPr>
        <w:ind w:left="357" w:hanging="357"/>
        <w:rPr>
          <w:rStyle w:val="Heading1Char"/>
        </w:rPr>
      </w:pPr>
      <w:bookmarkStart w:id="3" w:name="_Toc360179575"/>
      <w:bookmarkStart w:id="4" w:name="_Toc366083402"/>
      <w:r>
        <w:rPr>
          <w:rStyle w:val="Heading1Char"/>
        </w:rPr>
        <w:lastRenderedPageBreak/>
        <w:t>Active/ Passive investments</w:t>
      </w:r>
      <w:bookmarkEnd w:id="3"/>
      <w:bookmarkEnd w:id="4"/>
    </w:p>
    <w:tbl>
      <w:tblPr>
        <w:tblStyle w:val="SubSectionMISCTableMANDATORY"/>
        <w:tblW w:w="9134" w:type="dxa"/>
        <w:tblInd w:w="5" w:type="dxa"/>
        <w:tblLayout w:type="fixed"/>
        <w:tblLook w:val="06A0" w:firstRow="1" w:lastRow="0" w:firstColumn="1" w:lastColumn="0" w:noHBand="1" w:noVBand="1"/>
      </w:tblPr>
      <w:tblGrid>
        <w:gridCol w:w="2127"/>
        <w:gridCol w:w="7007"/>
      </w:tblGrid>
      <w:tr w:rsidR="00001885" w14:paraId="2D0C7560" w14:textId="77777777" w:rsidTr="00331CD5">
        <w:trPr>
          <w:cnfStyle w:val="100000000000" w:firstRow="1" w:lastRow="0" w:firstColumn="0" w:lastColumn="0" w:oddVBand="0" w:evenVBand="0" w:oddHBand="0" w:evenHBand="0" w:firstRowFirstColumn="0" w:firstRowLastColumn="0" w:lastRowFirstColumn="0" w:lastRowLastColumn="0"/>
          <w:trHeight w:val="321"/>
        </w:trPr>
        <w:tc>
          <w:tcPr>
            <w:cnfStyle w:val="001000000100" w:firstRow="0" w:lastRow="0" w:firstColumn="1" w:lastColumn="0" w:oddVBand="0" w:evenVBand="0" w:oddHBand="0" w:evenHBand="0" w:firstRowFirstColumn="1" w:firstRowLastColumn="0" w:lastRowFirstColumn="0" w:lastRowLastColumn="0"/>
            <w:tcW w:w="2127" w:type="dxa"/>
            <w:tcBorders>
              <w:top w:val="single" w:sz="4" w:space="0" w:color="0082C8"/>
              <w:bottom w:val="single" w:sz="4" w:space="0" w:color="F2F2F2" w:themeColor="background1" w:themeShade="F2"/>
            </w:tcBorders>
          </w:tcPr>
          <w:p w14:paraId="2D0C755E" w14:textId="77777777" w:rsidR="00001885" w:rsidRPr="004720C4" w:rsidRDefault="00B22BF8" w:rsidP="00A1189F">
            <w:pPr>
              <w:pStyle w:val="SectionIndicatorHeaderText"/>
              <w:rPr>
                <w:rStyle w:val="IntenseEmphasis"/>
                <w:b w:val="0"/>
                <w:bCs w:val="0"/>
                <w:i w:val="0"/>
                <w:iCs w:val="0"/>
                <w:sz w:val="20"/>
                <w:szCs w:val="20"/>
              </w:rPr>
            </w:pPr>
            <w:r>
              <w:rPr>
                <w:rStyle w:val="IntenseEmphasis"/>
                <w:b w:val="0"/>
                <w:i w:val="0"/>
                <w:color w:val="FFFFFF" w:themeColor="background1"/>
                <w:sz w:val="20"/>
                <w:szCs w:val="20"/>
              </w:rPr>
              <w:t>Definition</w:t>
            </w:r>
          </w:p>
        </w:tc>
        <w:tc>
          <w:tcPr>
            <w:tcW w:w="7007" w:type="dxa"/>
            <w:tcBorders>
              <w:top w:val="single" w:sz="4" w:space="0" w:color="0082C8"/>
              <w:bottom w:val="single" w:sz="4" w:space="0" w:color="F2F2F2" w:themeColor="background1" w:themeShade="F2"/>
            </w:tcBorders>
          </w:tcPr>
          <w:p w14:paraId="2D0C755F" w14:textId="77777777" w:rsidR="00001885" w:rsidRDefault="00B22BF8" w:rsidP="00A1189F">
            <w:pPr>
              <w:pStyle w:val="SectionIndicatorHeaderBOLD"/>
              <w:cnfStyle w:val="100000000000" w:firstRow="1" w:lastRow="0" w:firstColumn="0" w:lastColumn="0" w:oddVBand="0" w:evenVBand="0" w:oddHBand="0" w:evenHBand="0" w:firstRowFirstColumn="0" w:firstRowLastColumn="0" w:lastRowFirstColumn="0" w:lastRowLastColumn="0"/>
              <w:rPr>
                <w:rStyle w:val="IntenseEmphasis"/>
                <w:b/>
                <w:bCs w:val="0"/>
                <w:i w:val="0"/>
                <w:iCs w:val="0"/>
              </w:rPr>
            </w:pPr>
            <w:r w:rsidRPr="00B22BF8">
              <w:rPr>
                <w:rStyle w:val="IntenseEmphasis"/>
                <w:b/>
                <w:i w:val="0"/>
                <w:color w:val="FFFFFF" w:themeColor="background1"/>
                <w:sz w:val="20"/>
                <w:szCs w:val="20"/>
              </w:rPr>
              <w:t>ACTIVELY AND PASSIVELY MANAGED STRATEGIES</w:t>
            </w:r>
          </w:p>
        </w:tc>
      </w:tr>
      <w:tr w:rsidR="00001885" w:rsidRPr="00CF025D" w14:paraId="2D0C7563" w14:textId="77777777" w:rsidTr="00331CD5">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F2F2F2" w:themeColor="background1" w:themeShade="F2"/>
            </w:tcBorders>
            <w:shd w:val="clear" w:color="auto" w:fill="D9D9D9" w:themeFill="background1" w:themeFillShade="D9"/>
          </w:tcPr>
          <w:p w14:paraId="2D0C7561" w14:textId="77777777" w:rsidR="00001885" w:rsidRPr="003F0E6F" w:rsidRDefault="00001885" w:rsidP="00A1189F">
            <w:pPr>
              <w:pStyle w:val="INDICATORNUMBER"/>
            </w:pPr>
            <w:r w:rsidRPr="003F0E6F">
              <w:t>Passive strategies</w:t>
            </w:r>
          </w:p>
        </w:tc>
        <w:tc>
          <w:tcPr>
            <w:tcW w:w="7007" w:type="dxa"/>
            <w:tcBorders>
              <w:top w:val="single" w:sz="4" w:space="0" w:color="F2F2F2" w:themeColor="background1" w:themeShade="F2"/>
            </w:tcBorders>
          </w:tcPr>
          <w:p w14:paraId="60B65783" w14:textId="77777777" w:rsidR="006C43C9" w:rsidRPr="005A3724" w:rsidRDefault="006C43C9" w:rsidP="005A3724">
            <w:pPr>
              <w:pStyle w:val="INDICATORTEXT"/>
              <w:cnfStyle w:val="000000000000" w:firstRow="0" w:lastRow="0" w:firstColumn="0" w:lastColumn="0" w:oddVBand="0" w:evenVBand="0" w:oddHBand="0" w:evenHBand="0" w:firstRowFirstColumn="0" w:firstRowLastColumn="0" w:lastRowFirstColumn="0" w:lastRowLastColumn="0"/>
              <w:rPr>
                <w:szCs w:val="18"/>
              </w:rPr>
            </w:pPr>
            <w:r w:rsidRPr="003A1FCC">
              <w:rPr>
                <w:szCs w:val="18"/>
              </w:rPr>
              <w:t>Passive investments are investments which mirror the performance of an index and follow a pre-determined buy and hold strategy that does not involve active forecasting. Examples include investments in broad capital market indices, ESG weighted indices, themed indices, passive managed ETFs or indices with ESG-based exclusions.</w:t>
            </w:r>
          </w:p>
          <w:p w14:paraId="2D0C7562" w14:textId="3C70EB50" w:rsidR="00001885" w:rsidRPr="003F0E6F" w:rsidRDefault="006C43C9" w:rsidP="003A1FCC">
            <w:pPr>
              <w:pStyle w:val="INDICATORTEXT"/>
              <w:cnfStyle w:val="000000000000" w:firstRow="0" w:lastRow="0" w:firstColumn="0" w:lastColumn="0" w:oddVBand="0" w:evenVBand="0" w:oddHBand="0" w:evenHBand="0" w:firstRowFirstColumn="0" w:firstRowLastColumn="0" w:lastRowFirstColumn="0" w:lastRowLastColumn="0"/>
              <w:rPr>
                <w:szCs w:val="18"/>
              </w:rPr>
            </w:pPr>
            <w:r>
              <w:rPr>
                <w:szCs w:val="18"/>
              </w:rPr>
              <w:t xml:space="preserve">More detail on ESG integration for passive investors can be found later in this document. </w:t>
            </w:r>
          </w:p>
        </w:tc>
      </w:tr>
      <w:tr w:rsidR="00001885" w:rsidRPr="00CF025D" w14:paraId="2D0C7566" w14:textId="77777777" w:rsidTr="00A1189F">
        <w:tc>
          <w:tcPr>
            <w:cnfStyle w:val="001000000000" w:firstRow="0" w:lastRow="0" w:firstColumn="1" w:lastColumn="0" w:oddVBand="0" w:evenVBand="0" w:oddHBand="0" w:evenHBand="0" w:firstRowFirstColumn="0" w:firstRowLastColumn="0" w:lastRowFirstColumn="0" w:lastRowLastColumn="0"/>
            <w:tcW w:w="2127" w:type="dxa"/>
            <w:shd w:val="clear" w:color="auto" w:fill="D9D9D9" w:themeFill="background1" w:themeFillShade="D9"/>
          </w:tcPr>
          <w:p w14:paraId="2D0C7564" w14:textId="77777777" w:rsidR="00001885" w:rsidRPr="003F0E6F" w:rsidRDefault="00001885" w:rsidP="00A1189F">
            <w:pPr>
              <w:pStyle w:val="INDICATORNUMBER"/>
            </w:pPr>
            <w:r w:rsidRPr="003F0E6F">
              <w:t>Active - quantitative (quant) strategies</w:t>
            </w:r>
          </w:p>
        </w:tc>
        <w:tc>
          <w:tcPr>
            <w:tcW w:w="7007" w:type="dxa"/>
          </w:tcPr>
          <w:p w14:paraId="492532D1" w14:textId="77777777" w:rsidR="00001885" w:rsidRDefault="00001885" w:rsidP="00A1189F">
            <w:pPr>
              <w:pStyle w:val="INDICATORTEXT"/>
              <w:cnfStyle w:val="000000000000" w:firstRow="0" w:lastRow="0" w:firstColumn="0" w:lastColumn="0" w:oddVBand="0" w:evenVBand="0" w:oddHBand="0" w:evenHBand="0" w:firstRowFirstColumn="0" w:firstRowLastColumn="0" w:lastRowFirstColumn="0" w:lastRowLastColumn="0"/>
              <w:rPr>
                <w:szCs w:val="18"/>
              </w:rPr>
            </w:pPr>
            <w:r w:rsidRPr="003F0E6F">
              <w:rPr>
                <w:szCs w:val="18"/>
              </w:rPr>
              <w:t xml:space="preserve">Investment strategies or funds where the manager builds computer-based models to determine whether an investment is attractive. In a pure "quant model" the final decision to buy or sell is made by the model. </w:t>
            </w:r>
          </w:p>
          <w:p w14:paraId="2D0C7565" w14:textId="0DBEBAE5" w:rsidR="006C43C9" w:rsidRPr="003F0E6F" w:rsidRDefault="006C43C9" w:rsidP="003A1FCC">
            <w:pPr>
              <w:pStyle w:val="INDICATORTEXT"/>
              <w:cnfStyle w:val="000000000000" w:firstRow="0" w:lastRow="0" w:firstColumn="0" w:lastColumn="0" w:oddVBand="0" w:evenVBand="0" w:oddHBand="0" w:evenHBand="0" w:firstRowFirstColumn="0" w:firstRowLastColumn="0" w:lastRowFirstColumn="0" w:lastRowLastColumn="0"/>
              <w:rPr>
                <w:szCs w:val="18"/>
              </w:rPr>
            </w:pPr>
            <w:r>
              <w:rPr>
                <w:szCs w:val="18"/>
              </w:rPr>
              <w:t>More detail on ESG integration for active investors can be found later in this document.</w:t>
            </w:r>
          </w:p>
        </w:tc>
      </w:tr>
      <w:tr w:rsidR="00001885" w:rsidRPr="00CF025D" w14:paraId="2D0C7569" w14:textId="77777777" w:rsidTr="00A1189F">
        <w:tc>
          <w:tcPr>
            <w:cnfStyle w:val="001000000000" w:firstRow="0" w:lastRow="0" w:firstColumn="1" w:lastColumn="0" w:oddVBand="0" w:evenVBand="0" w:oddHBand="0" w:evenHBand="0" w:firstRowFirstColumn="0" w:firstRowLastColumn="0" w:lastRowFirstColumn="0" w:lastRowLastColumn="0"/>
            <w:tcW w:w="2127" w:type="dxa"/>
            <w:shd w:val="clear" w:color="auto" w:fill="D9D9D9" w:themeFill="background1" w:themeFillShade="D9"/>
          </w:tcPr>
          <w:p w14:paraId="2D0C7567" w14:textId="77777777" w:rsidR="00001885" w:rsidRPr="003F0E6F" w:rsidRDefault="00001885" w:rsidP="00A1189F">
            <w:pPr>
              <w:pStyle w:val="INDICATORNUMBER"/>
            </w:pPr>
            <w:r w:rsidRPr="003F0E6F">
              <w:t xml:space="preserve">Active - fundamental </w:t>
            </w:r>
          </w:p>
        </w:tc>
        <w:tc>
          <w:tcPr>
            <w:tcW w:w="7007" w:type="dxa"/>
            <w:shd w:val="clear" w:color="auto" w:fill="auto"/>
          </w:tcPr>
          <w:p w14:paraId="79AC9CBC" w14:textId="77777777" w:rsidR="00001885" w:rsidRDefault="00001885" w:rsidP="00A1189F">
            <w:pPr>
              <w:pStyle w:val="INDICATORTEXT"/>
              <w:cnfStyle w:val="000000000000" w:firstRow="0" w:lastRow="0" w:firstColumn="0" w:lastColumn="0" w:oddVBand="0" w:evenVBand="0" w:oddHBand="0" w:evenHBand="0" w:firstRowFirstColumn="0" w:firstRowLastColumn="0" w:lastRowFirstColumn="0" w:lastRowLastColumn="0"/>
              <w:rPr>
                <w:szCs w:val="18"/>
              </w:rPr>
            </w:pPr>
            <w:r w:rsidRPr="003F0E6F">
              <w:rPr>
                <w:szCs w:val="18"/>
              </w:rPr>
              <w:t>Fundamental strategies in which investment decisions are based on human judgment.  This includes both bottom-up (e.g. stock-picking) and top-down (e.g. sector-based) strategies.</w:t>
            </w:r>
          </w:p>
          <w:p w14:paraId="2D0C7568" w14:textId="6E05D054" w:rsidR="006C43C9" w:rsidRPr="003F0E6F" w:rsidRDefault="006C43C9" w:rsidP="00A1189F">
            <w:pPr>
              <w:pStyle w:val="INDICATORTEXT"/>
              <w:cnfStyle w:val="000000000000" w:firstRow="0" w:lastRow="0" w:firstColumn="0" w:lastColumn="0" w:oddVBand="0" w:evenVBand="0" w:oddHBand="0" w:evenHBand="0" w:firstRowFirstColumn="0" w:firstRowLastColumn="0" w:lastRowFirstColumn="0" w:lastRowLastColumn="0"/>
              <w:rPr>
                <w:szCs w:val="18"/>
              </w:rPr>
            </w:pPr>
            <w:r>
              <w:rPr>
                <w:szCs w:val="18"/>
              </w:rPr>
              <w:t>More detail on ESG integration for active investors can be found later in this document.</w:t>
            </w:r>
          </w:p>
        </w:tc>
      </w:tr>
      <w:tr w:rsidR="00001885" w:rsidRPr="00CF025D" w14:paraId="2D0C756C" w14:textId="77777777" w:rsidTr="00A1189F">
        <w:tc>
          <w:tcPr>
            <w:cnfStyle w:val="001000000000" w:firstRow="0" w:lastRow="0" w:firstColumn="1" w:lastColumn="0" w:oddVBand="0" w:evenVBand="0" w:oddHBand="0" w:evenHBand="0" w:firstRowFirstColumn="0" w:firstRowLastColumn="0" w:lastRowFirstColumn="0" w:lastRowLastColumn="0"/>
            <w:tcW w:w="2127" w:type="dxa"/>
            <w:shd w:val="clear" w:color="auto" w:fill="D9D9D9" w:themeFill="background1" w:themeFillShade="D9"/>
          </w:tcPr>
          <w:p w14:paraId="2D0C756A" w14:textId="77777777" w:rsidR="00001885" w:rsidRPr="003F0E6F" w:rsidRDefault="00001885" w:rsidP="00A1189F">
            <w:pPr>
              <w:pStyle w:val="INDICATORNUMBER"/>
            </w:pPr>
            <w:r w:rsidRPr="003F0E6F">
              <w:t xml:space="preserve">Active - other </w:t>
            </w:r>
          </w:p>
        </w:tc>
        <w:tc>
          <w:tcPr>
            <w:tcW w:w="7007" w:type="dxa"/>
            <w:shd w:val="clear" w:color="auto" w:fill="auto"/>
          </w:tcPr>
          <w:p w14:paraId="740003B9" w14:textId="77777777" w:rsidR="00001885" w:rsidRDefault="00001885" w:rsidP="00A1189F">
            <w:pPr>
              <w:pStyle w:val="INDICATORTEXT"/>
              <w:cnfStyle w:val="000000000000" w:firstRow="0" w:lastRow="0" w:firstColumn="0" w:lastColumn="0" w:oddVBand="0" w:evenVBand="0" w:oddHBand="0" w:evenHBand="0" w:firstRowFirstColumn="0" w:firstRowLastColumn="0" w:lastRowFirstColumn="0" w:lastRowLastColumn="0"/>
              <w:rPr>
                <w:szCs w:val="18"/>
              </w:rPr>
            </w:pPr>
            <w:r w:rsidRPr="003F0E6F">
              <w:rPr>
                <w:szCs w:val="18"/>
              </w:rPr>
              <w:t>Strategies that do not match any of the above strategies. These may be active strategies that combine active quant and active fundamental strategies, or other strategies that you believe do not fit at all the above definitions. You may clarify your strategy in Additional Information field.</w:t>
            </w:r>
          </w:p>
          <w:p w14:paraId="2D0C756B" w14:textId="3F9BC625" w:rsidR="006C43C9" w:rsidRPr="003F0E6F" w:rsidRDefault="006C43C9" w:rsidP="00A1189F">
            <w:pPr>
              <w:pStyle w:val="INDICATORTEXT"/>
              <w:cnfStyle w:val="000000000000" w:firstRow="0" w:lastRow="0" w:firstColumn="0" w:lastColumn="0" w:oddVBand="0" w:evenVBand="0" w:oddHBand="0" w:evenHBand="0" w:firstRowFirstColumn="0" w:firstRowLastColumn="0" w:lastRowFirstColumn="0" w:lastRowLastColumn="0"/>
              <w:rPr>
                <w:szCs w:val="18"/>
              </w:rPr>
            </w:pPr>
            <w:r>
              <w:rPr>
                <w:szCs w:val="18"/>
              </w:rPr>
              <w:t>More detail on ESG integration for active investors can be found later in this document.</w:t>
            </w:r>
          </w:p>
        </w:tc>
      </w:tr>
    </w:tbl>
    <w:p w14:paraId="2D0C756D" w14:textId="77777777" w:rsidR="00001885" w:rsidRDefault="00001885" w:rsidP="00B610B4">
      <w:pPr>
        <w:ind w:left="357" w:hanging="357"/>
        <w:rPr>
          <w:rStyle w:val="Heading1Char"/>
        </w:rPr>
      </w:pPr>
    </w:p>
    <w:p w14:paraId="2D0C756E" w14:textId="77777777" w:rsidR="007D3447" w:rsidRDefault="007D3447">
      <w:pPr>
        <w:widowControl/>
        <w:autoSpaceDE/>
        <w:autoSpaceDN/>
        <w:adjustRightInd/>
        <w:spacing w:before="0" w:after="0" w:line="240" w:lineRule="auto"/>
        <w:rPr>
          <w:rStyle w:val="Heading1Char"/>
        </w:rPr>
      </w:pPr>
      <w:r>
        <w:rPr>
          <w:rStyle w:val="Heading1Char"/>
        </w:rPr>
        <w:br w:type="page"/>
      </w:r>
    </w:p>
    <w:p w14:paraId="2D0C756F" w14:textId="77777777" w:rsidR="00B610B4" w:rsidRPr="00CB44C6" w:rsidRDefault="00B610B4" w:rsidP="00B610B4">
      <w:pPr>
        <w:ind w:left="357" w:hanging="357"/>
        <w:rPr>
          <w:rStyle w:val="Heading1Char"/>
        </w:rPr>
      </w:pPr>
      <w:bookmarkStart w:id="5" w:name="_Toc360179576"/>
      <w:bookmarkStart w:id="6" w:name="_Toc366083403"/>
      <w:r w:rsidRPr="00CB44C6">
        <w:rPr>
          <w:rStyle w:val="Heading1Char"/>
        </w:rPr>
        <w:lastRenderedPageBreak/>
        <w:t>ESG incorporation</w:t>
      </w:r>
      <w:bookmarkEnd w:id="5"/>
      <w:bookmarkEnd w:id="6"/>
    </w:p>
    <w:tbl>
      <w:tblPr>
        <w:tblStyle w:val="SubSectionMISCTableMANDATORY"/>
        <w:tblW w:w="9134" w:type="dxa"/>
        <w:tblInd w:w="5" w:type="dxa"/>
        <w:tblLayout w:type="fixed"/>
        <w:tblLook w:val="06A0" w:firstRow="1" w:lastRow="0" w:firstColumn="1" w:lastColumn="0" w:noHBand="1" w:noVBand="1"/>
      </w:tblPr>
      <w:tblGrid>
        <w:gridCol w:w="2127"/>
        <w:gridCol w:w="7007"/>
      </w:tblGrid>
      <w:tr w:rsidR="00B22BF8" w:rsidRPr="00CF025D" w14:paraId="2D0C7572" w14:textId="77777777" w:rsidTr="00331CD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127" w:type="dxa"/>
            <w:tcBorders>
              <w:top w:val="single" w:sz="4" w:space="0" w:color="0070C0"/>
              <w:bottom w:val="nil"/>
              <w:right w:val="single" w:sz="4" w:space="0" w:color="F2F2F2" w:themeColor="background1" w:themeShade="F2"/>
            </w:tcBorders>
            <w:shd w:val="clear" w:color="auto" w:fill="00B0F0"/>
          </w:tcPr>
          <w:p w14:paraId="2D0C7570" w14:textId="77777777" w:rsidR="00B22BF8" w:rsidRPr="004A43C8" w:rsidDel="00890993" w:rsidRDefault="00B22BF8" w:rsidP="00C23AE8">
            <w:pPr>
              <w:pStyle w:val="INDICATORTEXT"/>
              <w:jc w:val="both"/>
            </w:pPr>
            <w:r>
              <w:rPr>
                <w:rStyle w:val="IntenseEmphasis"/>
                <w:b w:val="0"/>
                <w:i w:val="0"/>
                <w:color w:val="FFFFFF" w:themeColor="background1"/>
                <w:sz w:val="20"/>
                <w:szCs w:val="20"/>
              </w:rPr>
              <w:t>Definition</w:t>
            </w:r>
          </w:p>
        </w:tc>
        <w:tc>
          <w:tcPr>
            <w:tcW w:w="7007" w:type="dxa"/>
            <w:tcBorders>
              <w:top w:val="single" w:sz="4" w:space="0" w:color="0070C0"/>
              <w:left w:val="single" w:sz="4" w:space="0" w:color="F2F2F2" w:themeColor="background1" w:themeShade="F2"/>
              <w:bottom w:val="nil"/>
              <w:right w:val="single" w:sz="4" w:space="0" w:color="0070C0"/>
            </w:tcBorders>
            <w:shd w:val="clear" w:color="auto" w:fill="0070C0"/>
          </w:tcPr>
          <w:p w14:paraId="2D0C7571" w14:textId="77777777" w:rsidR="00B22BF8" w:rsidRPr="00B22BF8" w:rsidDel="00890993" w:rsidRDefault="00B22BF8" w:rsidP="00C23AE8">
            <w:pPr>
              <w:pStyle w:val="INDICATORTEXT"/>
              <w:jc w:val="both"/>
              <w:cnfStyle w:val="100000000000" w:firstRow="1" w:lastRow="0" w:firstColumn="0" w:lastColumn="0" w:oddVBand="0" w:evenVBand="0" w:oddHBand="0" w:evenHBand="0" w:firstRowFirstColumn="0" w:firstRowLastColumn="0" w:lastRowFirstColumn="0" w:lastRowLastColumn="0"/>
              <w:rPr>
                <w:i/>
              </w:rPr>
            </w:pPr>
            <w:r w:rsidRPr="00B22BF8">
              <w:rPr>
                <w:rStyle w:val="IntenseEmphasis"/>
                <w:i w:val="0"/>
                <w:color w:val="FFFFFF" w:themeColor="background1"/>
                <w:sz w:val="20"/>
                <w:szCs w:val="20"/>
              </w:rPr>
              <w:t>ESG INCORPORATION</w:t>
            </w:r>
          </w:p>
        </w:tc>
      </w:tr>
      <w:tr w:rsidR="00B610B4" w:rsidRPr="00CF025D" w14:paraId="2D0C757B" w14:textId="77777777" w:rsidTr="00331CD5">
        <w:tc>
          <w:tcPr>
            <w:cnfStyle w:val="001000000000" w:firstRow="0" w:lastRow="0" w:firstColumn="1" w:lastColumn="0" w:oddVBand="0" w:evenVBand="0" w:oddHBand="0" w:evenHBand="0" w:firstRowFirstColumn="0" w:firstRowLastColumn="0" w:lastRowFirstColumn="0" w:lastRowLastColumn="0"/>
            <w:tcW w:w="9134" w:type="dxa"/>
            <w:gridSpan w:val="2"/>
            <w:tcBorders>
              <w:top w:val="nil"/>
              <w:bottom w:val="single" w:sz="4" w:space="0" w:color="A6A6A6" w:themeColor="background1" w:themeShade="A6"/>
              <w:right w:val="single" w:sz="4" w:space="0" w:color="0070C0"/>
            </w:tcBorders>
            <w:shd w:val="clear" w:color="auto" w:fill="auto"/>
          </w:tcPr>
          <w:p w14:paraId="2D0C7573" w14:textId="77777777" w:rsidR="00B610B4" w:rsidRPr="004A43C8" w:rsidRDefault="00890993" w:rsidP="00C23AE8">
            <w:pPr>
              <w:pStyle w:val="INDICATORTEXT"/>
              <w:jc w:val="both"/>
            </w:pPr>
            <w:r>
              <w:t>I</w:t>
            </w:r>
            <w:r w:rsidR="00B610B4" w:rsidRPr="004A43C8">
              <w:t>ncorporat</w:t>
            </w:r>
            <w:r>
              <w:t>ion of</w:t>
            </w:r>
            <w:r w:rsidR="00B610B4" w:rsidRPr="004A43C8">
              <w:t xml:space="preserve"> ESG issues into investment analysis and decision-making processes</w:t>
            </w:r>
            <w:r>
              <w:t xml:space="preserve"> is covered in Principle 1 of the PRI</w:t>
            </w:r>
            <w:r w:rsidR="00B610B4" w:rsidRPr="004A43C8">
              <w:t xml:space="preserve">.  </w:t>
            </w:r>
          </w:p>
          <w:p w14:paraId="2D0C7574" w14:textId="77777777" w:rsidR="00B610B4" w:rsidRPr="004A43C8" w:rsidRDefault="00B610B4" w:rsidP="00C23AE8">
            <w:pPr>
              <w:pStyle w:val="INDICATORTEXT"/>
              <w:jc w:val="both"/>
            </w:pPr>
            <w:r w:rsidRPr="004A43C8">
              <w:t xml:space="preserve">Throughout the Reporting Framework, we refer to ESG incorporation </w:t>
            </w:r>
            <w:r w:rsidRPr="004A43C8">
              <w:rPr>
                <w:i/>
              </w:rPr>
              <w:t>as the review and use of ESG information in the investment decision-making process</w:t>
            </w:r>
            <w:r w:rsidRPr="004A43C8">
              <w:t>. The Reporting Framework addresses four ways in which this can be done:</w:t>
            </w:r>
          </w:p>
          <w:p w14:paraId="2D0C7575" w14:textId="77777777" w:rsidR="00B610B4" w:rsidRPr="004A43C8" w:rsidRDefault="00B610B4" w:rsidP="00B610B4">
            <w:pPr>
              <w:pStyle w:val="INDICATORTEXT"/>
              <w:numPr>
                <w:ilvl w:val="0"/>
                <w:numId w:val="52"/>
              </w:numPr>
              <w:jc w:val="both"/>
            </w:pPr>
            <w:r w:rsidRPr="004A43C8">
              <w:t>Screening</w:t>
            </w:r>
          </w:p>
          <w:p w14:paraId="2D0C7576" w14:textId="77777777" w:rsidR="00B610B4" w:rsidRPr="004A43C8" w:rsidRDefault="00B610B4" w:rsidP="00B610B4">
            <w:pPr>
              <w:pStyle w:val="INDICATORTEXT"/>
              <w:numPr>
                <w:ilvl w:val="0"/>
                <w:numId w:val="52"/>
              </w:numPr>
              <w:jc w:val="both"/>
            </w:pPr>
            <w:r w:rsidRPr="004A43C8">
              <w:t>Sustainability themed investment (also referred to as environmentally and socially themed investment)</w:t>
            </w:r>
          </w:p>
          <w:p w14:paraId="2D0C7577" w14:textId="77777777" w:rsidR="00B610B4" w:rsidRPr="004A43C8" w:rsidRDefault="00B610B4" w:rsidP="00B610B4">
            <w:pPr>
              <w:pStyle w:val="INDICATORTEXT"/>
              <w:numPr>
                <w:ilvl w:val="0"/>
                <w:numId w:val="52"/>
              </w:numPr>
              <w:jc w:val="both"/>
            </w:pPr>
            <w:r w:rsidRPr="004A43C8">
              <w:t>Integration of ESG issues</w:t>
            </w:r>
          </w:p>
          <w:p w14:paraId="2D0C7578" w14:textId="77777777" w:rsidR="00B610B4" w:rsidRPr="004A43C8" w:rsidRDefault="00B610B4" w:rsidP="00B610B4">
            <w:pPr>
              <w:pStyle w:val="INDICATORTEXT"/>
              <w:numPr>
                <w:ilvl w:val="0"/>
                <w:numId w:val="52"/>
              </w:numPr>
              <w:jc w:val="both"/>
            </w:pPr>
            <w:r w:rsidRPr="004A43C8">
              <w:t>A combination of the above</w:t>
            </w:r>
          </w:p>
          <w:p w14:paraId="2D0C7579" w14:textId="77777777" w:rsidR="00B610B4" w:rsidRPr="004A43C8" w:rsidRDefault="00B610B4" w:rsidP="00C23AE8">
            <w:pPr>
              <w:pStyle w:val="INDICATORTEXT"/>
              <w:jc w:val="both"/>
            </w:pPr>
            <w:r w:rsidRPr="004A43C8">
              <w:t>Assets subject to an engagement approach only and not subject to any of the above strategies should not be included in ESG incorporation.</w:t>
            </w:r>
          </w:p>
          <w:p w14:paraId="2D0C757A" w14:textId="77777777" w:rsidR="00B610B4" w:rsidRPr="00D93C4C" w:rsidRDefault="00B610B4" w:rsidP="00C23AE8">
            <w:pPr>
              <w:pStyle w:val="INDICATORTEXT"/>
              <w:jc w:val="both"/>
            </w:pPr>
            <w:r w:rsidRPr="004A43C8">
              <w:t xml:space="preserve">To improve standardisation and communication in the responsible investment industry, the PRI is aligning its definitions with those of the </w:t>
            </w:r>
            <w:hyperlink r:id="rId15" w:history="1">
              <w:r w:rsidRPr="004A43C8">
                <w:rPr>
                  <w:color w:val="0070C0"/>
                  <w:u w:val="single"/>
                </w:rPr>
                <w:t>Global Sustainable Investment Alliance</w:t>
              </w:r>
            </w:hyperlink>
            <w:r w:rsidRPr="004A43C8">
              <w:t>. These are presented below for convenience.</w:t>
            </w:r>
          </w:p>
        </w:tc>
      </w:tr>
      <w:tr w:rsidR="00B610B4" w:rsidRPr="00CF025D" w14:paraId="2D0C7581" w14:textId="77777777" w:rsidTr="00C23AE8">
        <w:tc>
          <w:tcPr>
            <w:cnfStyle w:val="001000000000" w:firstRow="0" w:lastRow="0" w:firstColumn="1" w:lastColumn="0" w:oddVBand="0" w:evenVBand="0" w:oddHBand="0" w:evenHBand="0" w:firstRowFirstColumn="0" w:firstRowLastColumn="0" w:lastRowFirstColumn="0" w:lastRowLastColumn="0"/>
            <w:tcW w:w="2127" w:type="dxa"/>
            <w:tcBorders>
              <w:top w:val="nil"/>
              <w:bottom w:val="single" w:sz="4" w:space="0" w:color="A6A6A6" w:themeColor="background1" w:themeShade="A6"/>
              <w:right w:val="single" w:sz="4" w:space="0" w:color="595959" w:themeColor="text1" w:themeTint="A6"/>
            </w:tcBorders>
            <w:shd w:val="clear" w:color="auto" w:fill="D9D9D9" w:themeFill="background1" w:themeFillShade="D9"/>
          </w:tcPr>
          <w:p w14:paraId="2D0C757C" w14:textId="77777777" w:rsidR="00B610B4" w:rsidRPr="00683930" w:rsidRDefault="00B610B4" w:rsidP="00C23AE8">
            <w:pPr>
              <w:pStyle w:val="INDICATORNUMBER"/>
              <w:spacing w:before="80"/>
              <w:rPr>
                <w:rFonts w:ascii="Alright Sans Regular" w:hAnsi="Alright Sans Regular"/>
              </w:rPr>
            </w:pPr>
            <w:r w:rsidRPr="00683930">
              <w:rPr>
                <w:rFonts w:ascii="Alright Sans Regular" w:hAnsi="Alright Sans Regular"/>
              </w:rPr>
              <w:t>Screening of investments</w:t>
            </w:r>
          </w:p>
        </w:tc>
        <w:tc>
          <w:tcPr>
            <w:tcW w:w="7007" w:type="dxa"/>
            <w:tcBorders>
              <w:left w:val="single" w:sz="4" w:space="0" w:color="595959" w:themeColor="text1" w:themeTint="A6"/>
              <w:bottom w:val="single" w:sz="4" w:space="0" w:color="A6A6A6" w:themeColor="background1" w:themeShade="A6"/>
            </w:tcBorders>
            <w:shd w:val="clear" w:color="auto" w:fill="auto"/>
          </w:tcPr>
          <w:p w14:paraId="2D0C757D" w14:textId="77777777" w:rsidR="00B610B4" w:rsidRPr="00D93C4C" w:rsidRDefault="00B610B4" w:rsidP="00C23AE8">
            <w:pPr>
              <w:pStyle w:val="INDICATORTEXT"/>
              <w:jc w:val="both"/>
              <w:cnfStyle w:val="000000000000" w:firstRow="0" w:lastRow="0" w:firstColumn="0" w:lastColumn="0" w:oddVBand="0" w:evenVBand="0" w:oddHBand="0" w:evenHBand="0" w:firstRowFirstColumn="0" w:firstRowLastColumn="0" w:lastRowFirstColumn="0" w:lastRowLastColumn="0"/>
            </w:pPr>
            <w:r w:rsidRPr="00D93C4C">
              <w:t>This involves three types of screening:</w:t>
            </w:r>
          </w:p>
          <w:p w14:paraId="2D0C757E" w14:textId="77777777" w:rsidR="00B610B4" w:rsidRPr="00D93C4C" w:rsidRDefault="00B610B4" w:rsidP="00C23AE8">
            <w:pPr>
              <w:pStyle w:val="INDICATORTEXT"/>
              <w:jc w:val="both"/>
              <w:cnfStyle w:val="000000000000" w:firstRow="0" w:lastRow="0" w:firstColumn="0" w:lastColumn="0" w:oddVBand="0" w:evenVBand="0" w:oddHBand="0" w:evenHBand="0" w:firstRowFirstColumn="0" w:firstRowLastColumn="0" w:lastRowFirstColumn="0" w:lastRowLastColumn="0"/>
            </w:pPr>
            <w:r w:rsidRPr="00D93C4C">
              <w:t>a. Negative/exclusionary screening: The exclusion from a fund or portfolio of certain sectors, companies or practices based on specific ESG criteria;</w:t>
            </w:r>
          </w:p>
          <w:p w14:paraId="2D0C757F" w14:textId="77777777" w:rsidR="00B610B4" w:rsidRPr="00D93C4C" w:rsidRDefault="00B610B4" w:rsidP="00C23AE8">
            <w:pPr>
              <w:pStyle w:val="INDICATORTEXT"/>
              <w:jc w:val="both"/>
              <w:cnfStyle w:val="000000000000" w:firstRow="0" w:lastRow="0" w:firstColumn="0" w:lastColumn="0" w:oddVBand="0" w:evenVBand="0" w:oddHBand="0" w:evenHBand="0" w:firstRowFirstColumn="0" w:firstRowLastColumn="0" w:lastRowFirstColumn="0" w:lastRowLastColumn="0"/>
            </w:pPr>
            <w:r w:rsidRPr="00D93C4C">
              <w:t>b. Positive/best-in-class screening: Investment in sectors, companies or projects selected for positive ESG performance relative to industry peers;</w:t>
            </w:r>
          </w:p>
          <w:p w14:paraId="2D0C7580" w14:textId="77777777" w:rsidR="00B610B4" w:rsidRPr="00683930" w:rsidRDefault="00B610B4" w:rsidP="00C23AE8">
            <w:pPr>
              <w:pStyle w:val="INDICATORTEXT"/>
              <w:jc w:val="both"/>
              <w:cnfStyle w:val="000000000000" w:firstRow="0" w:lastRow="0" w:firstColumn="0" w:lastColumn="0" w:oddVBand="0" w:evenVBand="0" w:oddHBand="0" w:evenHBand="0" w:firstRowFirstColumn="0" w:firstRowLastColumn="0" w:lastRowFirstColumn="0" w:lastRowLastColumn="0"/>
            </w:pPr>
            <w:r w:rsidRPr="00D93C4C">
              <w:t xml:space="preserve">c. Norms-based screening: </w:t>
            </w:r>
            <w:r w:rsidRPr="00683930">
              <w:t>Screening of investments against minimum standards of business practice based on international norms.</w:t>
            </w:r>
          </w:p>
        </w:tc>
      </w:tr>
      <w:tr w:rsidR="00B610B4" w:rsidRPr="00CF025D" w14:paraId="2D0C7584" w14:textId="77777777" w:rsidTr="00C23AE8">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A6A6A6" w:themeColor="background1" w:themeShade="A6"/>
              <w:bottom w:val="single" w:sz="4" w:space="0" w:color="A6A6A6"/>
              <w:right w:val="single" w:sz="4" w:space="0" w:color="595959" w:themeColor="text1" w:themeTint="A6"/>
            </w:tcBorders>
            <w:shd w:val="clear" w:color="auto" w:fill="D9D9D9" w:themeFill="background1" w:themeFillShade="D9"/>
          </w:tcPr>
          <w:p w14:paraId="2D0C7582" w14:textId="77777777" w:rsidR="00B610B4" w:rsidRPr="00683930" w:rsidRDefault="00B610B4" w:rsidP="00C23AE8">
            <w:pPr>
              <w:pStyle w:val="INDICATORNUMBER"/>
              <w:spacing w:before="80"/>
              <w:rPr>
                <w:rFonts w:ascii="Alright Sans Regular" w:hAnsi="Alright Sans Regular"/>
              </w:rPr>
            </w:pPr>
            <w:r w:rsidRPr="00683930">
              <w:rPr>
                <w:rFonts w:ascii="Alright Sans Regular" w:hAnsi="Alright Sans Regular"/>
              </w:rPr>
              <w:t>Sustainability themed investing</w:t>
            </w:r>
          </w:p>
        </w:tc>
        <w:tc>
          <w:tcPr>
            <w:tcW w:w="7007" w:type="dxa"/>
            <w:tcBorders>
              <w:top w:val="single" w:sz="4" w:space="0" w:color="A6A6A6" w:themeColor="background1" w:themeShade="A6"/>
              <w:left w:val="single" w:sz="4" w:space="0" w:color="595959" w:themeColor="text1" w:themeTint="A6"/>
              <w:bottom w:val="single" w:sz="4" w:space="0" w:color="A6A6A6"/>
            </w:tcBorders>
            <w:shd w:val="clear" w:color="auto" w:fill="auto"/>
          </w:tcPr>
          <w:p w14:paraId="2D0C7583" w14:textId="77777777" w:rsidR="00B610B4" w:rsidRPr="00683930" w:rsidRDefault="00B610B4" w:rsidP="00C23AE8">
            <w:pPr>
              <w:pStyle w:val="INDICATORTEXT"/>
              <w:jc w:val="both"/>
              <w:cnfStyle w:val="000000000000" w:firstRow="0" w:lastRow="0" w:firstColumn="0" w:lastColumn="0" w:oddVBand="0" w:evenVBand="0" w:oddHBand="0" w:evenHBand="0" w:firstRowFirstColumn="0" w:firstRowLastColumn="0" w:lastRowFirstColumn="0" w:lastRowLastColumn="0"/>
              <w:rPr>
                <w:szCs w:val="18"/>
              </w:rPr>
            </w:pPr>
            <w:r w:rsidRPr="00683930">
              <w:rPr>
                <w:szCs w:val="18"/>
              </w:rPr>
              <w:t>Investment in themes or assets specifically related to sustainability (for example clean energy, green technology or sustainable agriculture).</w:t>
            </w:r>
          </w:p>
        </w:tc>
      </w:tr>
      <w:tr w:rsidR="00B610B4" w:rsidRPr="00CF025D" w14:paraId="2D0C7587" w14:textId="77777777" w:rsidTr="00FE4D51">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A6A6A6"/>
              <w:bottom w:val="single" w:sz="4" w:space="0" w:color="A6A6A6"/>
              <w:right w:val="single" w:sz="4" w:space="0" w:color="595959" w:themeColor="text1" w:themeTint="A6"/>
            </w:tcBorders>
            <w:shd w:val="clear" w:color="auto" w:fill="D9D9D9" w:themeFill="background1" w:themeFillShade="D9"/>
          </w:tcPr>
          <w:p w14:paraId="2D0C7585" w14:textId="77777777" w:rsidR="00B610B4" w:rsidRPr="00683930" w:rsidRDefault="00B610B4" w:rsidP="00C23AE8">
            <w:pPr>
              <w:pStyle w:val="INDICATORNUMBER"/>
              <w:spacing w:before="80"/>
              <w:rPr>
                <w:rFonts w:ascii="Alright Sans Regular" w:hAnsi="Alright Sans Regular"/>
              </w:rPr>
            </w:pPr>
            <w:r w:rsidRPr="00683930">
              <w:rPr>
                <w:rFonts w:ascii="Alright Sans Regular" w:hAnsi="Alright Sans Regular"/>
              </w:rPr>
              <w:t>Integration of ESG issues</w:t>
            </w:r>
          </w:p>
        </w:tc>
        <w:tc>
          <w:tcPr>
            <w:tcW w:w="7007" w:type="dxa"/>
            <w:tcBorders>
              <w:top w:val="single" w:sz="4" w:space="0" w:color="A6A6A6"/>
              <w:left w:val="single" w:sz="4" w:space="0" w:color="595959" w:themeColor="text1" w:themeTint="A6"/>
              <w:bottom w:val="single" w:sz="4" w:space="0" w:color="A6A6A6"/>
            </w:tcBorders>
            <w:shd w:val="clear" w:color="auto" w:fill="auto"/>
          </w:tcPr>
          <w:p w14:paraId="2D0C7586" w14:textId="77777777" w:rsidR="00B610B4" w:rsidRPr="00683930" w:rsidRDefault="00B610B4" w:rsidP="00C23AE8">
            <w:pPr>
              <w:pStyle w:val="INDICATORTEXT"/>
              <w:jc w:val="both"/>
              <w:cnfStyle w:val="000000000000" w:firstRow="0" w:lastRow="0" w:firstColumn="0" w:lastColumn="0" w:oddVBand="0" w:evenVBand="0" w:oddHBand="0" w:evenHBand="0" w:firstRowFirstColumn="0" w:firstRowLastColumn="0" w:lastRowFirstColumn="0" w:lastRowLastColumn="0"/>
              <w:rPr>
                <w:szCs w:val="18"/>
              </w:rPr>
            </w:pPr>
            <w:r w:rsidRPr="00683930">
              <w:rPr>
                <w:szCs w:val="18"/>
              </w:rPr>
              <w:t>The systematic and explicit inclusion by investment managers of environmental, social and governance factors into traditional financial analysis.</w:t>
            </w:r>
          </w:p>
        </w:tc>
      </w:tr>
      <w:tr w:rsidR="00FE4D51" w:rsidRPr="00CF025D" w14:paraId="2D0C758B" w14:textId="77777777" w:rsidTr="00FE4D51">
        <w:tc>
          <w:tcPr>
            <w:cnfStyle w:val="001000000000" w:firstRow="0" w:lastRow="0" w:firstColumn="1" w:lastColumn="0" w:oddVBand="0" w:evenVBand="0" w:oddHBand="0" w:evenHBand="0" w:firstRowFirstColumn="0" w:firstRowLastColumn="0" w:lastRowFirstColumn="0" w:lastRowLastColumn="0"/>
            <w:tcW w:w="9134" w:type="dxa"/>
            <w:gridSpan w:val="2"/>
            <w:tcBorders>
              <w:top w:val="single" w:sz="4" w:space="0" w:color="A6A6A6"/>
              <w:bottom w:val="single" w:sz="4" w:space="0" w:color="0082C8"/>
            </w:tcBorders>
            <w:shd w:val="clear" w:color="auto" w:fill="auto"/>
          </w:tcPr>
          <w:p w14:paraId="2D0C7588" w14:textId="77777777" w:rsidR="00FE4D51" w:rsidRDefault="00FE4D51" w:rsidP="00FE4D51">
            <w:pPr>
              <w:pStyle w:val="Heading4"/>
              <w:outlineLvl w:val="3"/>
              <w:rPr>
                <w:lang w:val="en-US"/>
              </w:rPr>
            </w:pPr>
            <w:r w:rsidRPr="001A76D9">
              <w:rPr>
                <w:lang w:val="en-US"/>
              </w:rPr>
              <w:t>Investment decision-making processes</w:t>
            </w:r>
          </w:p>
          <w:p w14:paraId="2D0C7589" w14:textId="77777777" w:rsidR="00FE4D51" w:rsidRDefault="00FE4D51" w:rsidP="00FE4D51">
            <w:pPr>
              <w:pStyle w:val="INDICATORTEXT"/>
              <w:jc w:val="both"/>
              <w:rPr>
                <w:szCs w:val="18"/>
              </w:rPr>
            </w:pPr>
            <w:r w:rsidRPr="004A43C8">
              <w:rPr>
                <w:szCs w:val="18"/>
              </w:rPr>
              <w:t>For the purposes of the Reporting Framework</w:t>
            </w:r>
            <w:r w:rsidRPr="004A43C8">
              <w:rPr>
                <w:i/>
                <w:szCs w:val="18"/>
              </w:rPr>
              <w:t>, investment decision making processes</w:t>
            </w:r>
            <w:r w:rsidRPr="004A43C8">
              <w:rPr>
                <w:szCs w:val="18"/>
              </w:rPr>
              <w:t xml:space="preserve"> refers to research, analysis and other processes that lead to a decision to make or retain an investment ( i.e. to buy, sell or hold a security), or to commit capital to an unlisted fund or other asset.  </w:t>
            </w:r>
          </w:p>
          <w:p w14:paraId="2D0C758A" w14:textId="77777777" w:rsidR="00FE4D51" w:rsidRPr="00683930" w:rsidRDefault="00FE4D51" w:rsidP="00FE4D51">
            <w:pPr>
              <w:pStyle w:val="INDICATORTEXT"/>
              <w:jc w:val="both"/>
              <w:rPr>
                <w:szCs w:val="18"/>
              </w:rPr>
            </w:pPr>
            <w:r w:rsidRPr="004A43C8">
              <w:rPr>
                <w:szCs w:val="18"/>
              </w:rPr>
              <w:t xml:space="preserve">(Proxy) voting decisions and engagement activities are not classified as investment decisions for the purposes of the Reporting Framework.  These decisions fall under Principle 2 of the PRI, relating to active ownership, and within the </w:t>
            </w:r>
            <w:r w:rsidRPr="004A43C8">
              <w:rPr>
                <w:i/>
                <w:szCs w:val="18"/>
              </w:rPr>
              <w:t>Listed Equity – Active Ownership (LEA)</w:t>
            </w:r>
            <w:r w:rsidRPr="004A43C8">
              <w:rPr>
                <w:szCs w:val="18"/>
              </w:rPr>
              <w:t xml:space="preserve"> module of the Framework.</w:t>
            </w:r>
          </w:p>
        </w:tc>
      </w:tr>
    </w:tbl>
    <w:p w14:paraId="2D0C758C" w14:textId="77777777" w:rsidR="00B610B4" w:rsidRDefault="00B610B4" w:rsidP="00FE4D51">
      <w:pPr>
        <w:pStyle w:val="Heading2"/>
      </w:pPr>
      <w:r>
        <w:br w:type="page"/>
      </w:r>
    </w:p>
    <w:tbl>
      <w:tblPr>
        <w:tblStyle w:val="SubSectionMISCTableMANDATORY"/>
        <w:tblW w:w="9134" w:type="dxa"/>
        <w:tblInd w:w="5" w:type="dxa"/>
        <w:tblLayout w:type="fixed"/>
        <w:tblLook w:val="06A0" w:firstRow="1" w:lastRow="0" w:firstColumn="1" w:lastColumn="0" w:noHBand="1" w:noVBand="1"/>
      </w:tblPr>
      <w:tblGrid>
        <w:gridCol w:w="2127"/>
        <w:gridCol w:w="7007"/>
      </w:tblGrid>
      <w:tr w:rsidR="00FE4D51" w:rsidRPr="00CF025D" w14:paraId="2D0C758E" w14:textId="77777777" w:rsidTr="00FE4D5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134" w:type="dxa"/>
            <w:gridSpan w:val="2"/>
            <w:tcBorders>
              <w:top w:val="single" w:sz="4" w:space="0" w:color="0082C8"/>
              <w:bottom w:val="single" w:sz="4" w:space="0" w:color="F2F2F2" w:themeColor="background1" w:themeShade="F2"/>
            </w:tcBorders>
            <w:shd w:val="clear" w:color="auto" w:fill="0070C0"/>
          </w:tcPr>
          <w:p w14:paraId="2D0C758D" w14:textId="77777777" w:rsidR="00FE4D51" w:rsidRPr="009201A5" w:rsidRDefault="00FE4D51" w:rsidP="00FE4D51">
            <w:pPr>
              <w:pStyle w:val="INDICATORTEXT"/>
              <w:jc w:val="both"/>
              <w:rPr>
                <w:b/>
                <w:i/>
              </w:rPr>
            </w:pPr>
            <w:r>
              <w:rPr>
                <w:rStyle w:val="IntenseEmphasis"/>
                <w:i w:val="0"/>
                <w:color w:val="FFFFFF" w:themeColor="background1"/>
                <w:sz w:val="20"/>
                <w:szCs w:val="20"/>
              </w:rPr>
              <w:lastRenderedPageBreak/>
              <w:t xml:space="preserve">FURTHER EXPLANATION OF DEFINITIONS FOR </w:t>
            </w:r>
            <w:r w:rsidRPr="009201A5">
              <w:rPr>
                <w:rStyle w:val="IntenseEmphasis"/>
                <w:i w:val="0"/>
                <w:color w:val="FFFFFF" w:themeColor="background1"/>
                <w:sz w:val="20"/>
                <w:szCs w:val="20"/>
              </w:rPr>
              <w:t>ACTIVE STRATEGIES</w:t>
            </w:r>
          </w:p>
        </w:tc>
      </w:tr>
      <w:tr w:rsidR="00B610B4" w:rsidRPr="00CF025D" w14:paraId="2D0C7593" w14:textId="77777777" w:rsidTr="00331CD5">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F2F2F2" w:themeColor="background1" w:themeShade="F2"/>
              <w:bottom w:val="single" w:sz="4" w:space="0" w:color="A6A6A6" w:themeColor="background1" w:themeShade="A6"/>
              <w:right w:val="single" w:sz="4" w:space="0" w:color="595959" w:themeColor="text1" w:themeTint="A6"/>
            </w:tcBorders>
            <w:shd w:val="clear" w:color="auto" w:fill="D9D9D9" w:themeFill="background1" w:themeFillShade="D9"/>
          </w:tcPr>
          <w:p w14:paraId="2D0C758F" w14:textId="77777777" w:rsidR="00B610B4" w:rsidRPr="00683930" w:rsidRDefault="00B610B4" w:rsidP="00C23AE8">
            <w:pPr>
              <w:pStyle w:val="INDICATORNUMBER"/>
              <w:rPr>
                <w:rFonts w:ascii="Alright Sans Regular" w:hAnsi="Alright Sans Regular"/>
              </w:rPr>
            </w:pPr>
            <w:r w:rsidRPr="00683930">
              <w:rPr>
                <w:rFonts w:ascii="Alright Sans Regular" w:hAnsi="Alright Sans Regular"/>
              </w:rPr>
              <w:t xml:space="preserve">Screening </w:t>
            </w:r>
          </w:p>
        </w:tc>
        <w:tc>
          <w:tcPr>
            <w:tcW w:w="7007" w:type="dxa"/>
            <w:tcBorders>
              <w:top w:val="single" w:sz="4" w:space="0" w:color="F2F2F2" w:themeColor="background1" w:themeShade="F2"/>
              <w:left w:val="single" w:sz="4" w:space="0" w:color="595959" w:themeColor="text1" w:themeTint="A6"/>
              <w:bottom w:val="single" w:sz="4" w:space="0" w:color="A6A6A6" w:themeColor="background1" w:themeShade="A6"/>
            </w:tcBorders>
            <w:shd w:val="clear" w:color="auto" w:fill="auto"/>
          </w:tcPr>
          <w:p w14:paraId="2D0C7590" w14:textId="77777777" w:rsidR="00B610B4" w:rsidRDefault="00B610B4" w:rsidP="00C23AE8">
            <w:pPr>
              <w:pStyle w:val="INDICATORTEXT"/>
              <w:jc w:val="both"/>
              <w:cnfStyle w:val="000000000000" w:firstRow="0" w:lastRow="0" w:firstColumn="0" w:lastColumn="0" w:oddVBand="0" w:evenVBand="0" w:oddHBand="0" w:evenHBand="0" w:firstRowFirstColumn="0" w:firstRowLastColumn="0" w:lastRowFirstColumn="0" w:lastRowLastColumn="0"/>
            </w:pPr>
            <w:r w:rsidRPr="006E52E0">
              <w:rPr>
                <w:b/>
              </w:rPr>
              <w:t>Screening</w:t>
            </w:r>
            <w:r w:rsidRPr="00D93C4C">
              <w:t xml:space="preserve"> covers both screening conducted under a manager’s own policy and client-directed screening. </w:t>
            </w:r>
          </w:p>
          <w:p w14:paraId="2D0C7591" w14:textId="77777777" w:rsidR="00B610B4" w:rsidRDefault="00B610B4" w:rsidP="00C23AE8">
            <w:pPr>
              <w:pStyle w:val="INDICATORTEXT"/>
              <w:jc w:val="both"/>
              <w:cnfStyle w:val="000000000000" w:firstRow="0" w:lastRow="0" w:firstColumn="0" w:lastColumn="0" w:oddVBand="0" w:evenVBand="0" w:oddHBand="0" w:evenHBand="0" w:firstRowFirstColumn="0" w:firstRowLastColumn="0" w:lastRowFirstColumn="0" w:lastRowLastColumn="0"/>
            </w:pPr>
            <w:r w:rsidRPr="00B610B4">
              <w:rPr>
                <w:b/>
              </w:rPr>
              <w:t>Negative/</w:t>
            </w:r>
            <w:r w:rsidRPr="006E52E0">
              <w:rPr>
                <w:b/>
              </w:rPr>
              <w:t>exclusionary screening and positive/best-in-class screening</w:t>
            </w:r>
            <w:r w:rsidRPr="00D93C4C">
              <w:t xml:space="preserve"> are based on criteria defined in a variety of ways: by product, activity, sector, geographic region or management practices. </w:t>
            </w:r>
          </w:p>
          <w:p w14:paraId="2D0C7592" w14:textId="77777777" w:rsidR="00B610B4" w:rsidRPr="00683930" w:rsidRDefault="00B610B4" w:rsidP="00C23AE8">
            <w:pPr>
              <w:pStyle w:val="INDICATORTEXT"/>
              <w:jc w:val="both"/>
              <w:cnfStyle w:val="000000000000" w:firstRow="0" w:lastRow="0" w:firstColumn="0" w:lastColumn="0" w:oddVBand="0" w:evenVBand="0" w:oddHBand="0" w:evenHBand="0" w:firstRowFirstColumn="0" w:firstRowLastColumn="0" w:lastRowFirstColumn="0" w:lastRowLastColumn="0"/>
            </w:pPr>
            <w:r w:rsidRPr="006E52E0">
              <w:rPr>
                <w:b/>
              </w:rPr>
              <w:t>Norms-based screening</w:t>
            </w:r>
            <w:r w:rsidRPr="00D93C4C">
              <w:t xml:space="preserve"> involves either: i) defining the investment universe based on investees’ performance on international norms related to responsible investment/ESG issues, or ii) excluding investees from portfolios after investment if they are found following research, and sometimes engagement, to contravene these norms. Such norms include but are not limited to the UN Global Compact Principles, the Universal Declaration of Human Rights, International Labour Organization standards, the United Nations Convention Against Corruption and the OECD Guidelines for Multinational Enterprises.</w:t>
            </w:r>
          </w:p>
        </w:tc>
      </w:tr>
      <w:tr w:rsidR="00B610B4" w:rsidRPr="00CF025D" w14:paraId="2D0C7596" w14:textId="77777777" w:rsidTr="00C23AE8">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A6A6A6" w:themeColor="background1" w:themeShade="A6"/>
              <w:bottom w:val="single" w:sz="4" w:space="0" w:color="A6A6A6"/>
              <w:right w:val="single" w:sz="4" w:space="0" w:color="595959" w:themeColor="text1" w:themeTint="A6"/>
            </w:tcBorders>
            <w:shd w:val="clear" w:color="auto" w:fill="D9D9D9" w:themeFill="background1" w:themeFillShade="D9"/>
          </w:tcPr>
          <w:p w14:paraId="2D0C7594" w14:textId="77777777" w:rsidR="00B610B4" w:rsidRPr="00683930" w:rsidRDefault="00B610B4" w:rsidP="00C23AE8">
            <w:pPr>
              <w:pStyle w:val="INDICATORNUMBER"/>
              <w:spacing w:before="80"/>
              <w:rPr>
                <w:rFonts w:ascii="Alright Sans Regular" w:hAnsi="Alright Sans Regular"/>
              </w:rPr>
            </w:pPr>
            <w:r w:rsidRPr="00683930">
              <w:rPr>
                <w:rFonts w:ascii="Alright Sans Regular" w:hAnsi="Alright Sans Regular"/>
              </w:rPr>
              <w:t>Sustainability themed investing</w:t>
            </w:r>
          </w:p>
        </w:tc>
        <w:tc>
          <w:tcPr>
            <w:tcW w:w="7007" w:type="dxa"/>
            <w:tcBorders>
              <w:top w:val="single" w:sz="4" w:space="0" w:color="A6A6A6" w:themeColor="background1" w:themeShade="A6"/>
              <w:left w:val="single" w:sz="4" w:space="0" w:color="595959" w:themeColor="text1" w:themeTint="A6"/>
              <w:bottom w:val="single" w:sz="4" w:space="0" w:color="A6A6A6"/>
            </w:tcBorders>
            <w:shd w:val="clear" w:color="auto" w:fill="auto"/>
          </w:tcPr>
          <w:p w14:paraId="2D0C7595" w14:textId="77777777" w:rsidR="00B610B4" w:rsidRPr="006E52E0" w:rsidRDefault="00E20680" w:rsidP="00C23AE8">
            <w:pPr>
              <w:pStyle w:val="INDICATORTEXT"/>
              <w:jc w:val="both"/>
              <w:cnfStyle w:val="000000000000" w:firstRow="0" w:lastRow="0" w:firstColumn="0" w:lastColumn="0" w:oddVBand="0" w:evenVBand="0" w:oddHBand="0" w:evenHBand="0" w:firstRowFirstColumn="0" w:firstRowLastColumn="0" w:lastRowFirstColumn="0" w:lastRowLastColumn="0"/>
            </w:pPr>
            <w:r w:rsidRPr="00E20680">
              <w:rPr>
                <w:b/>
              </w:rPr>
              <w:t>Sustainability themed investing</w:t>
            </w:r>
            <w:r w:rsidR="00B610B4" w:rsidRPr="00D93C4C">
              <w:t xml:space="preserve"> involves the selection of assets that contribute to addressing sustainability challenges such as climate change or water scarcity. Funds can either be single-themed or multi-themed. For the purpose of this Reporting Framework, we use interchangeably the term </w:t>
            </w:r>
            <w:r w:rsidR="00B610B4" w:rsidRPr="00D93C4C">
              <w:rPr>
                <w:b/>
              </w:rPr>
              <w:t>environmental and social  themed</w:t>
            </w:r>
            <w:r w:rsidR="00B610B4" w:rsidRPr="00D93C4C">
              <w:t xml:space="preserve"> and </w:t>
            </w:r>
            <w:r w:rsidR="00B610B4" w:rsidRPr="00D93C4C">
              <w:rPr>
                <w:b/>
              </w:rPr>
              <w:t>sustainability themed investments</w:t>
            </w:r>
            <w:r w:rsidR="00B610B4" w:rsidRPr="00D93C4C">
              <w:t xml:space="preserve">. </w:t>
            </w:r>
          </w:p>
        </w:tc>
      </w:tr>
      <w:tr w:rsidR="00B610B4" w:rsidRPr="00CF025D" w14:paraId="2D0C759B" w14:textId="77777777" w:rsidTr="00C23AE8">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A6A6A6"/>
              <w:bottom w:val="single" w:sz="4" w:space="0" w:color="A6A6A6"/>
              <w:right w:val="single" w:sz="4" w:space="0" w:color="595959" w:themeColor="text1" w:themeTint="A6"/>
            </w:tcBorders>
            <w:shd w:val="clear" w:color="auto" w:fill="D9D9D9" w:themeFill="background1" w:themeFillShade="D9"/>
          </w:tcPr>
          <w:p w14:paraId="2D0C7597" w14:textId="77777777" w:rsidR="00B610B4" w:rsidRPr="00683930" w:rsidRDefault="00B610B4" w:rsidP="00C23AE8">
            <w:pPr>
              <w:pStyle w:val="INDICATORNUMBER"/>
              <w:spacing w:before="80"/>
              <w:rPr>
                <w:rFonts w:ascii="Alright Sans Regular" w:hAnsi="Alright Sans Regular"/>
              </w:rPr>
            </w:pPr>
            <w:r w:rsidRPr="00683930">
              <w:rPr>
                <w:rFonts w:ascii="Alright Sans Regular" w:hAnsi="Alright Sans Regular"/>
              </w:rPr>
              <w:t>Integration of ESG issues</w:t>
            </w:r>
          </w:p>
        </w:tc>
        <w:tc>
          <w:tcPr>
            <w:tcW w:w="7007" w:type="dxa"/>
            <w:tcBorders>
              <w:top w:val="single" w:sz="4" w:space="0" w:color="A6A6A6"/>
              <w:left w:val="single" w:sz="4" w:space="0" w:color="595959" w:themeColor="text1" w:themeTint="A6"/>
              <w:bottom w:val="single" w:sz="4" w:space="0" w:color="A6A6A6"/>
            </w:tcBorders>
            <w:shd w:val="clear" w:color="auto" w:fill="auto"/>
          </w:tcPr>
          <w:p w14:paraId="2D0C7598" w14:textId="77777777" w:rsidR="00B610B4" w:rsidRDefault="00E20680" w:rsidP="00C23AE8">
            <w:pPr>
              <w:pStyle w:val="INDICATORTEXT"/>
              <w:jc w:val="both"/>
              <w:cnfStyle w:val="000000000000" w:firstRow="0" w:lastRow="0" w:firstColumn="0" w:lastColumn="0" w:oddVBand="0" w:evenVBand="0" w:oddHBand="0" w:evenHBand="0" w:firstRowFirstColumn="0" w:firstRowLastColumn="0" w:lastRowFirstColumn="0" w:lastRowLastColumn="0"/>
            </w:pPr>
            <w:r w:rsidRPr="00E20680">
              <w:rPr>
                <w:b/>
              </w:rPr>
              <w:t>Integration of ESG issues</w:t>
            </w:r>
            <w:r w:rsidR="00B610B4" w:rsidRPr="00D93C4C">
              <w:t xml:space="preserve">  encompasses the use of qualitative and quantitative ESG information in investment processes, with the objective of enhancing investment decision-making.  Integration of ESG issues can be used to inform economic analysis and industry analysis. It can be used at the portfolio level, by taking into account ESG-related trends such as climate change, or at the stock, issuer, or investee level</w:t>
            </w:r>
            <w:r w:rsidR="00B610B4">
              <w:t>.</w:t>
            </w:r>
            <w:r w:rsidR="009D46A1" w:rsidRPr="00D93C4C">
              <w:t xml:space="preserve"> </w:t>
            </w:r>
            <w:r w:rsidR="00611310">
              <w:t xml:space="preserve">The term </w:t>
            </w:r>
            <w:r w:rsidR="009D46A1">
              <w:t xml:space="preserve">is used interchangeably with </w:t>
            </w:r>
            <w:r w:rsidR="009D46A1" w:rsidRPr="00D93C4C">
              <w:rPr>
                <w:b/>
              </w:rPr>
              <w:t>ESG integration</w:t>
            </w:r>
            <w:r w:rsidR="009D46A1" w:rsidRPr="00D93C4C">
              <w:t xml:space="preserve"> or </w:t>
            </w:r>
            <w:r w:rsidR="009D46A1" w:rsidRPr="00D93C4C">
              <w:rPr>
                <w:b/>
              </w:rPr>
              <w:t>integrated analysis</w:t>
            </w:r>
            <w:r w:rsidR="009D46A1" w:rsidRPr="00D93C4C">
              <w:t>.</w:t>
            </w:r>
          </w:p>
          <w:p w14:paraId="2D0C7599" w14:textId="77777777" w:rsidR="00B610B4" w:rsidRPr="00D93C4C" w:rsidRDefault="00B610B4" w:rsidP="00C23AE8">
            <w:pPr>
              <w:pStyle w:val="INDICATORTEXT"/>
              <w:jc w:val="both"/>
              <w:cnfStyle w:val="000000000000" w:firstRow="0" w:lastRow="0" w:firstColumn="0" w:lastColumn="0" w:oddVBand="0" w:evenVBand="0" w:oddHBand="0" w:evenHBand="0" w:firstRowFirstColumn="0" w:firstRowLastColumn="0" w:lastRowFirstColumn="0" w:lastRowLastColumn="0"/>
            </w:pPr>
            <w:r w:rsidRPr="00D93C4C">
              <w:t xml:space="preserve">Integrated analysis for active stock-picking or other equity investments includes analysing how ESG issues can affect a company’s balance sheet, income statement or cash flow models, by affecting costs, revenues, and business growth assumptions (i.e. in the estimation of a company’s fundamental value). Integrated analysis for active bond-picking and other debt funds involves analysing how ESG issues can affect an issuer’s creditworthiness. This type of analysis can also be used by funds that pick bond issuers using quantitative modelling. Integrated analysis for both equities and debt includes an assessment  of a company’s quality of management and the business risks and opportunities it faces related to ESG issues, allowing comparisons between companies. </w:t>
            </w:r>
          </w:p>
          <w:p w14:paraId="2D0C759A" w14:textId="77777777" w:rsidR="00B610B4" w:rsidRPr="006E52E0" w:rsidRDefault="00B610B4" w:rsidP="00C23AE8">
            <w:pPr>
              <w:pStyle w:val="INDICATORTEXT"/>
              <w:jc w:val="both"/>
              <w:cnfStyle w:val="000000000000" w:firstRow="0" w:lastRow="0" w:firstColumn="0" w:lastColumn="0" w:oddVBand="0" w:evenVBand="0" w:oddHBand="0" w:evenHBand="0" w:firstRowFirstColumn="0" w:firstRowLastColumn="0" w:lastRowFirstColumn="0" w:lastRowLastColumn="0"/>
            </w:pPr>
            <w:r w:rsidRPr="00D93C4C">
              <w:t xml:space="preserve">For examples of how investors are conducting integrated analysis for listed equities, see </w:t>
            </w:r>
            <w:hyperlink r:id="rId16" w:history="1">
              <w:r w:rsidRPr="006E52E0">
                <w:rPr>
                  <w:color w:val="0070C0"/>
                  <w:u w:val="single"/>
                </w:rPr>
                <w:t>Integrated Analysis: How Investors Are Addressing Environmental, Social and Governance Factors in Fundamental Equity Valuation</w:t>
              </w:r>
            </w:hyperlink>
            <w:r w:rsidRPr="00D93C4C">
              <w:t xml:space="preserve">, published by the PRI in February 2013. </w:t>
            </w:r>
          </w:p>
        </w:tc>
      </w:tr>
      <w:tr w:rsidR="00B610B4" w:rsidRPr="00CF025D" w14:paraId="2D0C75A1" w14:textId="77777777" w:rsidTr="00C23AE8">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A6A6A6"/>
              <w:bottom w:val="single" w:sz="4" w:space="0" w:color="0082C8"/>
              <w:right w:val="single" w:sz="4" w:space="0" w:color="595959" w:themeColor="text1" w:themeTint="A6"/>
            </w:tcBorders>
            <w:shd w:val="clear" w:color="auto" w:fill="D9D9D9" w:themeFill="background1" w:themeFillShade="D9"/>
          </w:tcPr>
          <w:p w14:paraId="2D0C759C" w14:textId="77777777" w:rsidR="00B610B4" w:rsidRPr="00683930" w:rsidRDefault="00B610B4" w:rsidP="00C23AE8">
            <w:pPr>
              <w:pStyle w:val="INDICATORNUMBER"/>
              <w:spacing w:before="80"/>
            </w:pPr>
            <w:r>
              <w:t>Combined approaches</w:t>
            </w:r>
          </w:p>
        </w:tc>
        <w:tc>
          <w:tcPr>
            <w:tcW w:w="7007" w:type="dxa"/>
            <w:tcBorders>
              <w:top w:val="single" w:sz="4" w:space="0" w:color="A6A6A6"/>
              <w:left w:val="single" w:sz="4" w:space="0" w:color="595959" w:themeColor="text1" w:themeTint="A6"/>
            </w:tcBorders>
            <w:shd w:val="clear" w:color="auto" w:fill="auto"/>
          </w:tcPr>
          <w:p w14:paraId="2D0C759D" w14:textId="77777777" w:rsidR="00B610B4" w:rsidRPr="00D93C4C" w:rsidRDefault="00B610B4" w:rsidP="00C23AE8">
            <w:pPr>
              <w:pStyle w:val="INDICATORTEXT"/>
              <w:jc w:val="both"/>
              <w:cnfStyle w:val="000000000000" w:firstRow="0" w:lastRow="0" w:firstColumn="0" w:lastColumn="0" w:oddVBand="0" w:evenVBand="0" w:oddHBand="0" w:evenHBand="0" w:firstRowFirstColumn="0" w:firstRowLastColumn="0" w:lastRowFirstColumn="0" w:lastRowLastColumn="0"/>
            </w:pPr>
            <w:r w:rsidRPr="006E52E0">
              <w:t>Combined approaches</w:t>
            </w:r>
            <w:r w:rsidRPr="00D93C4C">
              <w:t xml:space="preserve"> might include for example:</w:t>
            </w:r>
          </w:p>
          <w:p w14:paraId="2D0C759E" w14:textId="77777777" w:rsidR="00B610B4" w:rsidRPr="00D93C4C" w:rsidRDefault="00B610B4" w:rsidP="00B610B4">
            <w:pPr>
              <w:pStyle w:val="INDICATORTEXT"/>
              <w:numPr>
                <w:ilvl w:val="0"/>
                <w:numId w:val="52"/>
              </w:numPr>
              <w:jc w:val="both"/>
              <w:cnfStyle w:val="000000000000" w:firstRow="0" w:lastRow="0" w:firstColumn="0" w:lastColumn="0" w:oddVBand="0" w:evenVBand="0" w:oddHBand="0" w:evenHBand="0" w:firstRowFirstColumn="0" w:firstRowLastColumn="0" w:lastRowFirstColumn="0" w:lastRowLastColumn="0"/>
            </w:pPr>
            <w:r w:rsidRPr="00D93C4C">
              <w:t>Establishing a sustainable agriculture thematic fund that screens out companies involved in producing tobacco and uses integrated analysis to select companies for inclusion in the fund.</w:t>
            </w:r>
          </w:p>
          <w:p w14:paraId="2D0C759F" w14:textId="77777777" w:rsidR="00B610B4" w:rsidRPr="00D93C4C" w:rsidRDefault="00B610B4" w:rsidP="00B610B4">
            <w:pPr>
              <w:pStyle w:val="INDICATORTEXT"/>
              <w:numPr>
                <w:ilvl w:val="0"/>
                <w:numId w:val="52"/>
              </w:numPr>
              <w:jc w:val="both"/>
              <w:cnfStyle w:val="000000000000" w:firstRow="0" w:lastRow="0" w:firstColumn="0" w:lastColumn="0" w:oddVBand="0" w:evenVBand="0" w:oddHBand="0" w:evenHBand="0" w:firstRowFirstColumn="0" w:firstRowLastColumn="0" w:lastRowFirstColumn="0" w:lastRowLastColumn="0"/>
            </w:pPr>
            <w:r w:rsidRPr="00D93C4C">
              <w:t>Running a fund that applies 20 negative screens to determine the investible universe and uses integrated analysis to select companies for investment from within the investible universe.</w:t>
            </w:r>
          </w:p>
          <w:p w14:paraId="2D0C75A0" w14:textId="77777777" w:rsidR="00B610B4" w:rsidRPr="006E52E0" w:rsidRDefault="00B610B4" w:rsidP="00B610B4">
            <w:pPr>
              <w:pStyle w:val="INDICATORTEXT"/>
              <w:numPr>
                <w:ilvl w:val="0"/>
                <w:numId w:val="52"/>
              </w:numPr>
              <w:jc w:val="both"/>
              <w:cnfStyle w:val="000000000000" w:firstRow="0" w:lastRow="0" w:firstColumn="0" w:lastColumn="0" w:oddVBand="0" w:evenVBand="0" w:oddHBand="0" w:evenHBand="0" w:firstRowFirstColumn="0" w:firstRowLastColumn="0" w:lastRowFirstColumn="0" w:lastRowLastColumn="0"/>
            </w:pPr>
            <w:r w:rsidRPr="00D93C4C">
              <w:t>Running a global equities fund using integrated analysis to select stocks combined with a norms-based approach, investigating any serious alleged breaches of selected international norms and divesting companies found to be in serious breach of a norm (often after engagement).</w:t>
            </w:r>
          </w:p>
        </w:tc>
      </w:tr>
    </w:tbl>
    <w:p w14:paraId="2D0C75A2" w14:textId="77777777" w:rsidR="00B610B4" w:rsidRDefault="00B610B4" w:rsidP="00B610B4"/>
    <w:p w14:paraId="2D0C75A3" w14:textId="77777777" w:rsidR="00FE4D51" w:rsidRDefault="00FE4D51">
      <w:r>
        <w:br w:type="page"/>
      </w:r>
    </w:p>
    <w:tbl>
      <w:tblPr>
        <w:tblStyle w:val="SubSectionMISCTableMANDATORY"/>
        <w:tblW w:w="9134" w:type="dxa"/>
        <w:tblInd w:w="5" w:type="dxa"/>
        <w:tblLayout w:type="fixed"/>
        <w:tblLook w:val="06A0" w:firstRow="1" w:lastRow="0" w:firstColumn="1" w:lastColumn="0" w:noHBand="1" w:noVBand="1"/>
      </w:tblPr>
      <w:tblGrid>
        <w:gridCol w:w="2127"/>
        <w:gridCol w:w="7007"/>
      </w:tblGrid>
      <w:tr w:rsidR="00FE4D51" w:rsidRPr="00CF025D" w14:paraId="2D0C75A5" w14:textId="77777777" w:rsidTr="00FE4D5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134" w:type="dxa"/>
            <w:gridSpan w:val="2"/>
            <w:tcBorders>
              <w:top w:val="single" w:sz="4" w:space="0" w:color="0082C8"/>
              <w:bottom w:val="single" w:sz="4" w:space="0" w:color="F2F2F2" w:themeColor="background1" w:themeShade="F2"/>
            </w:tcBorders>
            <w:shd w:val="clear" w:color="auto" w:fill="0070C0"/>
          </w:tcPr>
          <w:p w14:paraId="2D0C75A4" w14:textId="77777777" w:rsidR="00FE4D51" w:rsidRPr="009201A5" w:rsidRDefault="00FE4D51" w:rsidP="00D2596D">
            <w:pPr>
              <w:pStyle w:val="INDICATORTEXT"/>
              <w:jc w:val="both"/>
              <w:rPr>
                <w:rStyle w:val="IntenseEmphasis"/>
                <w:i w:val="0"/>
                <w:color w:val="FFFFFF" w:themeColor="background1"/>
                <w:sz w:val="20"/>
                <w:szCs w:val="20"/>
              </w:rPr>
            </w:pPr>
            <w:r>
              <w:rPr>
                <w:rStyle w:val="IntenseEmphasis"/>
                <w:i w:val="0"/>
                <w:color w:val="FFFFFF" w:themeColor="background1"/>
                <w:sz w:val="20"/>
                <w:szCs w:val="20"/>
              </w:rPr>
              <w:lastRenderedPageBreak/>
              <w:t xml:space="preserve">FURTHER EXPLANATION OF DEFINITIONS FOR </w:t>
            </w:r>
            <w:r w:rsidRPr="009201A5">
              <w:rPr>
                <w:rStyle w:val="IntenseEmphasis"/>
                <w:i w:val="0"/>
                <w:color w:val="FFFFFF" w:themeColor="background1"/>
                <w:sz w:val="20"/>
                <w:szCs w:val="20"/>
              </w:rPr>
              <w:t>PASSIVE STRATEGIES</w:t>
            </w:r>
          </w:p>
        </w:tc>
      </w:tr>
      <w:tr w:rsidR="00B610B4" w:rsidRPr="00CF025D" w14:paraId="2D0C75A8" w14:textId="77777777" w:rsidTr="00331CD5">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F2F2F2" w:themeColor="background1" w:themeShade="F2"/>
              <w:bottom w:val="single" w:sz="4" w:space="0" w:color="A6A6A6" w:themeColor="background1" w:themeShade="A6"/>
              <w:right w:val="single" w:sz="4" w:space="0" w:color="595959" w:themeColor="text1" w:themeTint="A6"/>
            </w:tcBorders>
            <w:shd w:val="clear" w:color="auto" w:fill="D9D9D9" w:themeFill="background1" w:themeFillShade="D9"/>
          </w:tcPr>
          <w:p w14:paraId="2D0C75A6" w14:textId="77777777" w:rsidR="00B610B4" w:rsidRPr="00683930" w:rsidRDefault="00B610B4" w:rsidP="00C23AE8">
            <w:pPr>
              <w:pStyle w:val="INDICATORNUMBER"/>
              <w:rPr>
                <w:rFonts w:ascii="Alright Sans Regular" w:hAnsi="Alright Sans Regular"/>
              </w:rPr>
            </w:pPr>
            <w:r w:rsidRPr="00683930">
              <w:rPr>
                <w:rFonts w:ascii="Alright Sans Regular" w:hAnsi="Alright Sans Regular"/>
              </w:rPr>
              <w:t xml:space="preserve">Screening </w:t>
            </w:r>
          </w:p>
        </w:tc>
        <w:tc>
          <w:tcPr>
            <w:tcW w:w="7007" w:type="dxa"/>
            <w:tcBorders>
              <w:top w:val="single" w:sz="4" w:space="0" w:color="F2F2F2" w:themeColor="background1" w:themeShade="F2"/>
              <w:left w:val="single" w:sz="4" w:space="0" w:color="595959" w:themeColor="text1" w:themeTint="A6"/>
              <w:bottom w:val="single" w:sz="4" w:space="0" w:color="A6A6A6" w:themeColor="background1" w:themeShade="A6"/>
            </w:tcBorders>
            <w:shd w:val="clear" w:color="auto" w:fill="auto"/>
          </w:tcPr>
          <w:p w14:paraId="2D0C75A7" w14:textId="77777777" w:rsidR="00B610B4" w:rsidRPr="00127F3B" w:rsidRDefault="00B610B4" w:rsidP="00D2596D">
            <w:pPr>
              <w:pStyle w:val="INDICATORTEXT"/>
              <w:jc w:val="both"/>
              <w:cnfStyle w:val="000000000000" w:firstRow="0" w:lastRow="0" w:firstColumn="0" w:lastColumn="0" w:oddVBand="0" w:evenVBand="0" w:oddHBand="0" w:evenHBand="0" w:firstRowFirstColumn="0" w:firstRowLastColumn="0" w:lastRowFirstColumn="0" w:lastRowLastColumn="0"/>
            </w:pPr>
            <w:r w:rsidRPr="006E52E0">
              <w:t xml:space="preserve">Screening may include the use of indices constructed from an eligible universe based on the ESG characteristics of a company or country, but in which ESG issues do not play a part in the weighting of those companies or countries within the index. This may include indices constructed using ESG best-in-class or positive selection methodologies which identify securities for index inclusion (e.g. FTSE4Good, Dow Jones sustainability and MSCI ESG indices) or indices that exclude particular companies or countries (e.g. on the basis of products or activities). Exclusions may also be activity-based (i.e. exclude securities on the basis of their industry or business </w:t>
            </w:r>
            <w:r w:rsidR="00D2596D" w:rsidRPr="006E52E0">
              <w:t>activities</w:t>
            </w:r>
            <w:r w:rsidRPr="006E52E0">
              <w:t>,</w:t>
            </w:r>
            <w:r w:rsidR="00D2596D">
              <w:t xml:space="preserve"> </w:t>
            </w:r>
            <w:r w:rsidRPr="006E52E0">
              <w:t>for example, tobacco or controversial weapon screens), or location-based</w:t>
            </w:r>
            <w:r w:rsidR="00D2596D">
              <w:t xml:space="preserve"> </w:t>
            </w:r>
            <w:r w:rsidRPr="006E52E0">
              <w:t xml:space="preserve">(i.e. exclude securities from companies who operate in certain countries, or the </w:t>
            </w:r>
            <w:r w:rsidR="00D2596D" w:rsidRPr="006E52E0">
              <w:t>sovereign</w:t>
            </w:r>
            <w:r w:rsidRPr="006E52E0">
              <w:t xml:space="preserve"> debt from those countries). Alternatively, there may be </w:t>
            </w:r>
            <w:r w:rsidR="00D2596D">
              <w:t>n</w:t>
            </w:r>
            <w:r w:rsidRPr="006E52E0">
              <w:t>orms-based exclusions (i.e.</w:t>
            </w:r>
            <w:r w:rsidR="00D2596D">
              <w:t xml:space="preserve"> </w:t>
            </w:r>
            <w:r w:rsidRPr="006E52E0">
              <w:t>indices which exclude securities of issuers considered to have broken certain minimum standards of business conduct based on international norms, such as the UN Global Compact).</w:t>
            </w:r>
          </w:p>
        </w:tc>
      </w:tr>
      <w:tr w:rsidR="00B610B4" w:rsidRPr="00CF025D" w14:paraId="2D0C75AB" w14:textId="77777777" w:rsidTr="00C23AE8">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A6A6A6" w:themeColor="background1" w:themeShade="A6"/>
              <w:bottom w:val="single" w:sz="4" w:space="0" w:color="A6A6A6"/>
              <w:right w:val="single" w:sz="4" w:space="0" w:color="595959" w:themeColor="text1" w:themeTint="A6"/>
            </w:tcBorders>
            <w:shd w:val="clear" w:color="auto" w:fill="D9D9D9" w:themeFill="background1" w:themeFillShade="D9"/>
          </w:tcPr>
          <w:p w14:paraId="2D0C75A9" w14:textId="77777777" w:rsidR="00B610B4" w:rsidRPr="00683930" w:rsidRDefault="00B610B4" w:rsidP="00C23AE8">
            <w:pPr>
              <w:pStyle w:val="INDICATORNUMBER"/>
              <w:spacing w:before="80"/>
              <w:rPr>
                <w:rFonts w:ascii="Alright Sans Regular" w:hAnsi="Alright Sans Regular"/>
              </w:rPr>
            </w:pPr>
            <w:r w:rsidRPr="00127F3B">
              <w:t>Sustainability themed investments</w:t>
            </w:r>
          </w:p>
        </w:tc>
        <w:tc>
          <w:tcPr>
            <w:tcW w:w="7007" w:type="dxa"/>
            <w:tcBorders>
              <w:top w:val="single" w:sz="4" w:space="0" w:color="A6A6A6" w:themeColor="background1" w:themeShade="A6"/>
              <w:left w:val="single" w:sz="4" w:space="0" w:color="595959" w:themeColor="text1" w:themeTint="A6"/>
              <w:bottom w:val="single" w:sz="4" w:space="0" w:color="A6A6A6"/>
            </w:tcBorders>
            <w:shd w:val="clear" w:color="auto" w:fill="auto"/>
          </w:tcPr>
          <w:p w14:paraId="2D0C75AA" w14:textId="77777777" w:rsidR="00B610B4" w:rsidRPr="006E52E0" w:rsidRDefault="00B610B4" w:rsidP="00C23AE8">
            <w:pPr>
              <w:pStyle w:val="INDICATORTEXT"/>
              <w:jc w:val="both"/>
              <w:cnfStyle w:val="000000000000" w:firstRow="0" w:lastRow="0" w:firstColumn="0" w:lastColumn="0" w:oddVBand="0" w:evenVBand="0" w:oddHBand="0" w:evenHBand="0" w:firstRowFirstColumn="0" w:firstRowLastColumn="0" w:lastRowFirstColumn="0" w:lastRowLastColumn="0"/>
            </w:pPr>
            <w:r w:rsidRPr="00127F3B">
              <w:t>Sustainability themed investments cover passive funds investing in companies linked to specific themes (e.g. indices focused entirely on environmental and social themes such as clean technology, climate change, microfinance and impact investing).</w:t>
            </w:r>
          </w:p>
        </w:tc>
      </w:tr>
      <w:tr w:rsidR="00B610B4" w:rsidRPr="00CF025D" w14:paraId="2D0C75AE" w14:textId="77777777" w:rsidTr="00C23AE8">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A6A6A6"/>
              <w:bottom w:val="single" w:sz="4" w:space="0" w:color="0070C0"/>
              <w:right w:val="single" w:sz="4" w:space="0" w:color="595959" w:themeColor="text1" w:themeTint="A6"/>
            </w:tcBorders>
            <w:shd w:val="clear" w:color="auto" w:fill="D9D9D9" w:themeFill="background1" w:themeFillShade="D9"/>
          </w:tcPr>
          <w:p w14:paraId="2D0C75AC" w14:textId="77777777" w:rsidR="00B610B4" w:rsidRPr="00683930" w:rsidRDefault="00B610B4" w:rsidP="00C23AE8">
            <w:pPr>
              <w:pStyle w:val="INDICATORNUMBER"/>
              <w:spacing w:before="80"/>
              <w:rPr>
                <w:rFonts w:ascii="Alright Sans Regular" w:hAnsi="Alright Sans Regular"/>
              </w:rPr>
            </w:pPr>
            <w:r w:rsidRPr="00683930">
              <w:rPr>
                <w:rFonts w:ascii="Alright Sans Regular" w:hAnsi="Alright Sans Regular"/>
              </w:rPr>
              <w:t>Integration of ESG issues</w:t>
            </w:r>
          </w:p>
        </w:tc>
        <w:tc>
          <w:tcPr>
            <w:tcW w:w="7007" w:type="dxa"/>
            <w:tcBorders>
              <w:top w:val="single" w:sz="4" w:space="0" w:color="A6A6A6"/>
              <w:left w:val="single" w:sz="4" w:space="0" w:color="595959" w:themeColor="text1" w:themeTint="A6"/>
              <w:bottom w:val="single" w:sz="4" w:space="0" w:color="0070C0"/>
            </w:tcBorders>
            <w:shd w:val="clear" w:color="auto" w:fill="auto"/>
          </w:tcPr>
          <w:p w14:paraId="2D0C75AD" w14:textId="77777777" w:rsidR="00B610B4" w:rsidRPr="006E52E0" w:rsidRDefault="00B610B4" w:rsidP="00142F46">
            <w:pPr>
              <w:pStyle w:val="INDICATORTEXT"/>
              <w:jc w:val="both"/>
              <w:cnfStyle w:val="000000000000" w:firstRow="0" w:lastRow="0" w:firstColumn="0" w:lastColumn="0" w:oddVBand="0" w:evenVBand="0" w:oddHBand="0" w:evenHBand="0" w:firstRowFirstColumn="0" w:firstRowLastColumn="0" w:lastRowFirstColumn="0" w:lastRowLastColumn="0"/>
            </w:pPr>
            <w:r w:rsidRPr="006E52E0">
              <w:t>Integration of ESG issues</w:t>
            </w:r>
            <w:r w:rsidRPr="00D93C4C">
              <w:t xml:space="preserve"> </w:t>
            </w:r>
            <w:r w:rsidRPr="00127F3B">
              <w:t>typically alternative weighted ESG indices in which constituent security weights take account of the ESG characteristics of the company or country.</w:t>
            </w:r>
            <w:r w:rsidR="00FC3703">
              <w:t xml:space="preserve">    </w:t>
            </w:r>
          </w:p>
        </w:tc>
      </w:tr>
    </w:tbl>
    <w:p w14:paraId="2D0C75AF" w14:textId="77777777" w:rsidR="00B610B4" w:rsidRDefault="00B610B4" w:rsidP="00B610B4"/>
    <w:p w14:paraId="2D0C75B0" w14:textId="77777777" w:rsidR="00B610B4" w:rsidRPr="00D93C4C" w:rsidRDefault="00B610B4" w:rsidP="00B610B4">
      <w:pPr>
        <w:rPr>
          <w:color w:val="00AFF0"/>
        </w:rPr>
      </w:pPr>
      <w:r w:rsidRPr="00D93C4C">
        <w:br w:type="page"/>
      </w:r>
    </w:p>
    <w:p w14:paraId="2D0C75B1" w14:textId="77777777" w:rsidR="00B610B4" w:rsidRDefault="00B610B4" w:rsidP="00B610B4">
      <w:pPr>
        <w:ind w:left="357" w:hanging="357"/>
        <w:rPr>
          <w:rStyle w:val="Heading1Char"/>
        </w:rPr>
      </w:pPr>
      <w:bookmarkStart w:id="7" w:name="_Toc360179577"/>
      <w:bookmarkStart w:id="8" w:name="_Toc366083404"/>
      <w:r w:rsidRPr="00127F3B">
        <w:rPr>
          <w:rStyle w:val="Heading1Char"/>
        </w:rPr>
        <w:lastRenderedPageBreak/>
        <w:t>Active ownership and engagement</w:t>
      </w:r>
      <w:bookmarkEnd w:id="7"/>
      <w:bookmarkEnd w:id="8"/>
    </w:p>
    <w:tbl>
      <w:tblPr>
        <w:tblStyle w:val="SubSectionMISCTableMANDATORY"/>
        <w:tblW w:w="9134" w:type="dxa"/>
        <w:tblInd w:w="5" w:type="dxa"/>
        <w:tblLayout w:type="fixed"/>
        <w:tblLook w:val="06A0" w:firstRow="1" w:lastRow="0" w:firstColumn="1" w:lastColumn="0" w:noHBand="1" w:noVBand="1"/>
      </w:tblPr>
      <w:tblGrid>
        <w:gridCol w:w="2127"/>
        <w:gridCol w:w="7007"/>
      </w:tblGrid>
      <w:tr w:rsidR="008E7B03" w:rsidRPr="00CF025D" w14:paraId="2D0C75B4" w14:textId="77777777" w:rsidTr="00E225E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127" w:type="dxa"/>
            <w:tcBorders>
              <w:top w:val="single" w:sz="4" w:space="0" w:color="0082C8"/>
              <w:bottom w:val="single" w:sz="4" w:space="0" w:color="F2F2F2" w:themeColor="background1" w:themeShade="F2"/>
              <w:right w:val="single" w:sz="4" w:space="0" w:color="F2F2F2" w:themeColor="background1" w:themeShade="F2"/>
            </w:tcBorders>
            <w:shd w:val="clear" w:color="auto" w:fill="00B0F0"/>
          </w:tcPr>
          <w:p w14:paraId="2D0C75B2" w14:textId="77777777" w:rsidR="008E7B03" w:rsidRPr="009201A5" w:rsidRDefault="008E7B03" w:rsidP="007D3447">
            <w:pPr>
              <w:pStyle w:val="INDICATORTEXT"/>
              <w:jc w:val="both"/>
              <w:rPr>
                <w:rFonts w:ascii="Alright Sans Regular" w:hAnsi="Alright Sans Regular"/>
                <w:b/>
                <w:i/>
              </w:rPr>
            </w:pPr>
            <w:r w:rsidRPr="009201A5">
              <w:rPr>
                <w:rStyle w:val="IntenseEmphasis"/>
                <w:b w:val="0"/>
                <w:i w:val="0"/>
                <w:color w:val="FFFFFF" w:themeColor="background1"/>
                <w:sz w:val="20"/>
                <w:szCs w:val="20"/>
              </w:rPr>
              <w:t xml:space="preserve">Definition </w:t>
            </w:r>
          </w:p>
        </w:tc>
        <w:tc>
          <w:tcPr>
            <w:tcW w:w="7007" w:type="dxa"/>
            <w:tcBorders>
              <w:top w:val="single" w:sz="4" w:space="0" w:color="0082C8"/>
              <w:left w:val="single" w:sz="4" w:space="0" w:color="F2F2F2" w:themeColor="background1" w:themeShade="F2"/>
              <w:bottom w:val="single" w:sz="4" w:space="0" w:color="F2F2F2" w:themeColor="background1" w:themeShade="F2"/>
            </w:tcBorders>
            <w:shd w:val="clear" w:color="auto" w:fill="0070C0"/>
          </w:tcPr>
          <w:p w14:paraId="2D0C75B3" w14:textId="77777777" w:rsidR="008E7B03" w:rsidRPr="009201A5" w:rsidRDefault="008E7B03" w:rsidP="007D3447">
            <w:pPr>
              <w:pStyle w:val="INDICATORTEXT"/>
              <w:jc w:val="both"/>
              <w:cnfStyle w:val="100000000000" w:firstRow="1" w:lastRow="0" w:firstColumn="0" w:lastColumn="0" w:oddVBand="0" w:evenVBand="0" w:oddHBand="0" w:evenHBand="0" w:firstRowFirstColumn="0" w:firstRowLastColumn="0" w:lastRowFirstColumn="0" w:lastRowLastColumn="0"/>
              <w:rPr>
                <w:rStyle w:val="IntenseEmphasis"/>
                <w:i w:val="0"/>
                <w:color w:val="FFFFFF" w:themeColor="background1"/>
                <w:sz w:val="20"/>
                <w:szCs w:val="20"/>
              </w:rPr>
            </w:pPr>
            <w:r>
              <w:rPr>
                <w:rStyle w:val="IntenseEmphasis"/>
                <w:i w:val="0"/>
                <w:color w:val="FFFFFF" w:themeColor="background1"/>
                <w:sz w:val="20"/>
                <w:szCs w:val="20"/>
              </w:rPr>
              <w:t>ACTIVE OWNERSHIP AND ENGAGEMENT</w:t>
            </w:r>
          </w:p>
        </w:tc>
      </w:tr>
      <w:tr w:rsidR="008E7B03" w:rsidRPr="00CF025D" w14:paraId="2D0C75B7" w14:textId="77777777" w:rsidTr="00E225EC">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F2F2F2" w:themeColor="background1" w:themeShade="F2"/>
              <w:bottom w:val="single" w:sz="4" w:space="0" w:color="A6A6A6" w:themeColor="background1" w:themeShade="A6"/>
              <w:right w:val="single" w:sz="4" w:space="0" w:color="595959" w:themeColor="text1" w:themeTint="A6"/>
            </w:tcBorders>
            <w:shd w:val="clear" w:color="auto" w:fill="D9D9D9" w:themeFill="background1" w:themeFillShade="D9"/>
          </w:tcPr>
          <w:p w14:paraId="2D0C75B5" w14:textId="77777777" w:rsidR="008E7B03" w:rsidRPr="00127F3B" w:rsidRDefault="008E7B03" w:rsidP="00C23AE8">
            <w:pPr>
              <w:pStyle w:val="INDICATORNUMBER"/>
              <w:spacing w:before="80"/>
              <w:rPr>
                <w:rFonts w:ascii="Alright Sans Regular" w:hAnsi="Alright Sans Regular"/>
              </w:rPr>
            </w:pPr>
            <w:r w:rsidRPr="00127F3B">
              <w:rPr>
                <w:rFonts w:ascii="Alright Sans Regular" w:hAnsi="Alright Sans Regular"/>
              </w:rPr>
              <w:t xml:space="preserve">Active ownership </w:t>
            </w:r>
          </w:p>
        </w:tc>
        <w:tc>
          <w:tcPr>
            <w:tcW w:w="7007" w:type="dxa"/>
            <w:tcBorders>
              <w:top w:val="single" w:sz="4" w:space="0" w:color="F2F2F2" w:themeColor="background1" w:themeShade="F2"/>
              <w:left w:val="single" w:sz="4" w:space="0" w:color="595959" w:themeColor="text1" w:themeTint="A6"/>
              <w:bottom w:val="single" w:sz="4" w:space="0" w:color="A6A6A6" w:themeColor="background1" w:themeShade="A6"/>
            </w:tcBorders>
            <w:shd w:val="clear" w:color="auto" w:fill="auto"/>
          </w:tcPr>
          <w:p w14:paraId="2D0C75B6" w14:textId="77777777" w:rsidR="008E7B03" w:rsidRPr="00127F3B" w:rsidRDefault="008E7B03" w:rsidP="00D2596D">
            <w:pPr>
              <w:pStyle w:val="INDICATORTEXT"/>
              <w:jc w:val="both"/>
              <w:cnfStyle w:val="000000000000" w:firstRow="0" w:lastRow="0" w:firstColumn="0" w:lastColumn="0" w:oddVBand="0" w:evenVBand="0" w:oddHBand="0" w:evenHBand="0" w:firstRowFirstColumn="0" w:firstRowLastColumn="0" w:lastRowFirstColumn="0" w:lastRowLastColumn="0"/>
            </w:pPr>
            <w:r w:rsidRPr="00127F3B">
              <w:t>Active ownership is the use of the rights and position of ownership to influence the activity or behaviour of investees. This can be applied differently in each asset class. For listed equities it includes both engagement and (proxy) voting (including filing shareholder resolutions). For other asset classes (e.g. fixed income), engagement may still be relevant while (proxy) voting may not.</w:t>
            </w:r>
          </w:p>
        </w:tc>
      </w:tr>
      <w:tr w:rsidR="008E7B03" w:rsidRPr="00CF025D" w14:paraId="2D0C75BA" w14:textId="77777777" w:rsidTr="00C23AE8">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A6A6A6" w:themeColor="background1" w:themeShade="A6"/>
              <w:bottom w:val="single" w:sz="4" w:space="0" w:color="A6A6A6"/>
              <w:right w:val="single" w:sz="4" w:space="0" w:color="595959" w:themeColor="text1" w:themeTint="A6"/>
            </w:tcBorders>
            <w:shd w:val="clear" w:color="auto" w:fill="D9D9D9" w:themeFill="background1" w:themeFillShade="D9"/>
          </w:tcPr>
          <w:p w14:paraId="2D0C75B8" w14:textId="77777777" w:rsidR="008E7B03" w:rsidRPr="00127F3B" w:rsidRDefault="008E7B03" w:rsidP="00C23AE8">
            <w:pPr>
              <w:pStyle w:val="INDICATORNUMBER"/>
              <w:spacing w:before="80"/>
              <w:rPr>
                <w:rFonts w:ascii="Alright Sans Regular" w:hAnsi="Alright Sans Regular"/>
              </w:rPr>
            </w:pPr>
            <w:r w:rsidRPr="00127F3B">
              <w:rPr>
                <w:rFonts w:ascii="Alright Sans Regular" w:hAnsi="Alright Sans Regular"/>
              </w:rPr>
              <w:t xml:space="preserve">Engagement </w:t>
            </w:r>
          </w:p>
        </w:tc>
        <w:tc>
          <w:tcPr>
            <w:tcW w:w="7007" w:type="dxa"/>
            <w:tcBorders>
              <w:top w:val="single" w:sz="4" w:space="0" w:color="A6A6A6" w:themeColor="background1" w:themeShade="A6"/>
              <w:left w:val="single" w:sz="4" w:space="0" w:color="595959" w:themeColor="text1" w:themeTint="A6"/>
              <w:bottom w:val="single" w:sz="4" w:space="0" w:color="A6A6A6"/>
            </w:tcBorders>
            <w:shd w:val="clear" w:color="auto" w:fill="auto"/>
          </w:tcPr>
          <w:p w14:paraId="2D0C75B9" w14:textId="77777777" w:rsidR="008E7B03" w:rsidRPr="00127F3B" w:rsidRDefault="008E7B03" w:rsidP="00C23AE8">
            <w:pPr>
              <w:pStyle w:val="INDICATORTEXT"/>
              <w:jc w:val="both"/>
              <w:cnfStyle w:val="000000000000" w:firstRow="0" w:lastRow="0" w:firstColumn="0" w:lastColumn="0" w:oddVBand="0" w:evenVBand="0" w:oddHBand="0" w:evenHBand="0" w:firstRowFirstColumn="0" w:firstRowLastColumn="0" w:lastRowFirstColumn="0" w:lastRowLastColumn="0"/>
            </w:pPr>
            <w:r w:rsidRPr="00127F3B">
              <w:t xml:space="preserve">Engagement refers to interactions between the investor and current or potential investees (which may be companies, governments, municipalities, etc.) on ESG issues. Engagements are undertaken to influence (or identify the need to influence) ESG practices and/or improve ESG disclosure.  </w:t>
            </w:r>
          </w:p>
        </w:tc>
      </w:tr>
      <w:tr w:rsidR="008E7B03" w:rsidRPr="00CF025D" w14:paraId="2D0C75BD" w14:textId="77777777" w:rsidTr="00C23AE8">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A6A6A6"/>
              <w:bottom w:val="single" w:sz="4" w:space="0" w:color="0070C0"/>
              <w:right w:val="single" w:sz="4" w:space="0" w:color="595959" w:themeColor="text1" w:themeTint="A6"/>
            </w:tcBorders>
            <w:shd w:val="clear" w:color="auto" w:fill="D9D9D9" w:themeFill="background1" w:themeFillShade="D9"/>
          </w:tcPr>
          <w:p w14:paraId="2D0C75BB" w14:textId="77777777" w:rsidR="008E7B03" w:rsidRPr="00127F3B" w:rsidRDefault="008E7B03" w:rsidP="00C23AE8">
            <w:pPr>
              <w:pStyle w:val="INDICATORNUMBER"/>
              <w:spacing w:before="80"/>
              <w:rPr>
                <w:rFonts w:ascii="Alright Sans Regular" w:hAnsi="Alright Sans Regular"/>
              </w:rPr>
            </w:pPr>
            <w:r w:rsidRPr="00127F3B">
              <w:rPr>
                <w:rFonts w:ascii="Alright Sans Regular" w:hAnsi="Alright Sans Regular"/>
              </w:rPr>
              <w:t>(Proxy) voting and shareholder resolutions</w:t>
            </w:r>
          </w:p>
        </w:tc>
        <w:tc>
          <w:tcPr>
            <w:tcW w:w="7007" w:type="dxa"/>
            <w:tcBorders>
              <w:top w:val="single" w:sz="4" w:space="0" w:color="A6A6A6"/>
              <w:left w:val="single" w:sz="4" w:space="0" w:color="595959" w:themeColor="text1" w:themeTint="A6"/>
              <w:bottom w:val="single" w:sz="4" w:space="0" w:color="0070C0"/>
            </w:tcBorders>
            <w:shd w:val="clear" w:color="auto" w:fill="auto"/>
          </w:tcPr>
          <w:p w14:paraId="2D0C75BC" w14:textId="77777777" w:rsidR="008E7B03" w:rsidRPr="00127F3B" w:rsidRDefault="008E7B03" w:rsidP="00C23AE8">
            <w:pPr>
              <w:pStyle w:val="INDICATORTEXT"/>
              <w:jc w:val="both"/>
              <w:cnfStyle w:val="000000000000" w:firstRow="0" w:lastRow="0" w:firstColumn="0" w:lastColumn="0" w:oddVBand="0" w:evenVBand="0" w:oddHBand="0" w:evenHBand="0" w:firstRowFirstColumn="0" w:firstRowLastColumn="0" w:lastRowFirstColumn="0" w:lastRowLastColumn="0"/>
            </w:pPr>
            <w:r w:rsidRPr="00127F3B">
              <w:t>Voting refers to voting on management and/or shareholder resolutions as well as filing shareholder resolutions.</w:t>
            </w:r>
          </w:p>
        </w:tc>
      </w:tr>
    </w:tbl>
    <w:p w14:paraId="2D0C75BE" w14:textId="77777777" w:rsidR="00B610B4" w:rsidRDefault="00B610B4" w:rsidP="00B610B4">
      <w:pPr>
        <w:pStyle w:val="Heading2"/>
      </w:pPr>
    </w:p>
    <w:tbl>
      <w:tblPr>
        <w:tblW w:w="9128" w:type="dxa"/>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A0" w:firstRow="1" w:lastRow="0" w:firstColumn="1" w:lastColumn="0" w:noHBand="0" w:noVBand="0"/>
      </w:tblPr>
      <w:tblGrid>
        <w:gridCol w:w="9128"/>
      </w:tblGrid>
      <w:tr w:rsidR="00FE4D51" w:rsidRPr="00D93C4C" w14:paraId="2D0C75C0" w14:textId="77777777" w:rsidTr="00FE4D51">
        <w:trPr>
          <w:trHeight w:val="293"/>
        </w:trPr>
        <w:tc>
          <w:tcPr>
            <w:tcW w:w="9128" w:type="dxa"/>
            <w:tcBorders>
              <w:bottom w:val="nil"/>
            </w:tcBorders>
            <w:shd w:val="clear" w:color="auto" w:fill="0070C0"/>
            <w:vAlign w:val="center"/>
          </w:tcPr>
          <w:p w14:paraId="2D0C75BF" w14:textId="77777777" w:rsidR="00FE4D51" w:rsidRPr="009201A5" w:rsidRDefault="00FE4D51" w:rsidP="007D3447">
            <w:pPr>
              <w:pStyle w:val="INDICATORTEXT"/>
              <w:jc w:val="both"/>
              <w:rPr>
                <w:rStyle w:val="IntenseEmphasis"/>
                <w:i w:val="0"/>
                <w:color w:val="FFFFFF" w:themeColor="background1"/>
                <w:sz w:val="20"/>
              </w:rPr>
            </w:pPr>
            <w:r>
              <w:rPr>
                <w:rStyle w:val="IntenseEmphasis"/>
                <w:i w:val="0"/>
                <w:color w:val="FFFFFF" w:themeColor="background1"/>
                <w:sz w:val="20"/>
              </w:rPr>
              <w:t>FURTHER EXPLANATION OF DEFINITIONS FOR ENGAGEMENT</w:t>
            </w:r>
          </w:p>
        </w:tc>
      </w:tr>
      <w:tr w:rsidR="008E7B03" w:rsidRPr="00D93C4C" w14:paraId="2D0C75C8" w14:textId="77777777" w:rsidTr="00E225EC">
        <w:trPr>
          <w:trHeight w:val="293"/>
        </w:trPr>
        <w:tc>
          <w:tcPr>
            <w:tcW w:w="9128" w:type="dxa"/>
            <w:tcBorders>
              <w:top w:val="nil"/>
            </w:tcBorders>
            <w:vAlign w:val="center"/>
          </w:tcPr>
          <w:p w14:paraId="2D0C75C1" w14:textId="77777777" w:rsidR="008E7B03" w:rsidRPr="00127F3B" w:rsidRDefault="00E20680" w:rsidP="00C23AE8">
            <w:pPr>
              <w:pStyle w:val="INDICATORTEXT"/>
              <w:jc w:val="both"/>
            </w:pPr>
            <w:r w:rsidRPr="00E20680">
              <w:rPr>
                <w:u w:val="single"/>
              </w:rPr>
              <w:t>Do not</w:t>
            </w:r>
            <w:r w:rsidR="008E7B03" w:rsidRPr="00127F3B">
              <w:t xml:space="preserve"> include the following as engagements:</w:t>
            </w:r>
          </w:p>
          <w:p w14:paraId="2D0C75C2" w14:textId="77777777" w:rsidR="008E7B03" w:rsidRPr="00127F3B" w:rsidRDefault="008E7B03" w:rsidP="00B610B4">
            <w:pPr>
              <w:pStyle w:val="INDICATORTEXT"/>
              <w:numPr>
                <w:ilvl w:val="0"/>
                <w:numId w:val="52"/>
              </w:numPr>
              <w:jc w:val="both"/>
            </w:pPr>
            <w:r w:rsidRPr="00127F3B">
              <w:t xml:space="preserve">Interactions with companies for data collection and/or research purposes related to  buy/hold/sell/weight decisions.  </w:t>
            </w:r>
          </w:p>
          <w:p w14:paraId="2D0C75C3" w14:textId="77777777" w:rsidR="008E7B03" w:rsidRPr="00127F3B" w:rsidRDefault="008E7B03" w:rsidP="00B610B4">
            <w:pPr>
              <w:pStyle w:val="INDICATORTEXT"/>
              <w:numPr>
                <w:ilvl w:val="0"/>
                <w:numId w:val="52"/>
              </w:numPr>
              <w:jc w:val="both"/>
            </w:pPr>
            <w:r w:rsidRPr="00127F3B">
              <w:t>Standard questionnaires sent to  companies for the purposes of information gathering and investment decision-making related to Principle 1 only (e.g. on products, or ESG policies and performance, for screening purposes).</w:t>
            </w:r>
          </w:p>
          <w:p w14:paraId="2D0C75C4" w14:textId="77777777" w:rsidR="008E7B03" w:rsidRPr="00127F3B" w:rsidRDefault="008E7B03" w:rsidP="00B610B4">
            <w:pPr>
              <w:pStyle w:val="INDICATORTEXT"/>
              <w:numPr>
                <w:ilvl w:val="0"/>
                <w:numId w:val="52"/>
              </w:numPr>
              <w:jc w:val="both"/>
            </w:pPr>
            <w:r w:rsidRPr="00127F3B">
              <w:t xml:space="preserve">Attendance at a company presentation, AGM or other company meeting without interactions or discussion. </w:t>
            </w:r>
          </w:p>
          <w:p w14:paraId="2D0C75C5" w14:textId="77777777" w:rsidR="008E7B03" w:rsidRPr="00127F3B" w:rsidRDefault="008E7B03" w:rsidP="00B610B4">
            <w:pPr>
              <w:pStyle w:val="INDICATORTEXT"/>
              <w:numPr>
                <w:ilvl w:val="0"/>
                <w:numId w:val="52"/>
              </w:numPr>
              <w:jc w:val="both"/>
            </w:pPr>
            <w:r w:rsidRPr="00127F3B">
              <w:t>CDP’s disclosure requests on GHG emissions, water and forests. These are not captured as engagements but are reported in Overarching Approach (OA).</w:t>
            </w:r>
          </w:p>
          <w:p w14:paraId="2D0C75C6" w14:textId="77777777" w:rsidR="008E7B03" w:rsidRPr="00127F3B" w:rsidRDefault="008E7B03" w:rsidP="00B610B4">
            <w:pPr>
              <w:pStyle w:val="INDICATORTEXT"/>
              <w:numPr>
                <w:ilvl w:val="0"/>
                <w:numId w:val="52"/>
              </w:numPr>
              <w:jc w:val="both"/>
            </w:pPr>
            <w:r w:rsidRPr="00127F3B">
              <w:t>Press releases an investor may publish regarding a practice an investee is undertaking which the investor is aiming to change.</w:t>
            </w:r>
          </w:p>
          <w:p w14:paraId="2D0C75C7" w14:textId="77777777" w:rsidR="008E7B03" w:rsidRPr="00D93C4C" w:rsidRDefault="008E7B03" w:rsidP="00C23AE8">
            <w:pPr>
              <w:pStyle w:val="INDICATORTEXT"/>
              <w:jc w:val="both"/>
              <w:rPr>
                <w:szCs w:val="18"/>
              </w:rPr>
            </w:pPr>
            <w:r w:rsidRPr="00127F3B">
              <w:t xml:space="preserve">Interactions intended to influence public policy or industry bodies defining best practices may not necessarily relate to specific underlying assets. Hence, do not report these in the asset class modules, but in the </w:t>
            </w:r>
            <w:r>
              <w:t>Over</w:t>
            </w:r>
            <w:r w:rsidRPr="00127F3B">
              <w:t>arching Approach (OA) module.</w:t>
            </w:r>
          </w:p>
        </w:tc>
      </w:tr>
    </w:tbl>
    <w:p w14:paraId="2D0C75C9" w14:textId="77777777" w:rsidR="00B610B4" w:rsidRDefault="00B610B4" w:rsidP="00B610B4">
      <w:pPr>
        <w:pStyle w:val="Heading3"/>
      </w:pPr>
    </w:p>
    <w:p w14:paraId="2D0C75CA" w14:textId="77777777" w:rsidR="00B610B4" w:rsidRDefault="00B610B4" w:rsidP="00B610B4">
      <w:pPr>
        <w:rPr>
          <w:color w:val="008CD0"/>
          <w:sz w:val="24"/>
          <w:szCs w:val="24"/>
        </w:rPr>
      </w:pPr>
      <w:r>
        <w:br w:type="page"/>
      </w:r>
    </w:p>
    <w:tbl>
      <w:tblPr>
        <w:tblW w:w="9072" w:type="dxa"/>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A0" w:firstRow="1" w:lastRow="0" w:firstColumn="1" w:lastColumn="0" w:noHBand="0" w:noVBand="0"/>
      </w:tblPr>
      <w:tblGrid>
        <w:gridCol w:w="1985"/>
        <w:gridCol w:w="7087"/>
      </w:tblGrid>
      <w:tr w:rsidR="00FE4D51" w:rsidRPr="00D93C4C" w14:paraId="2D0C75CC" w14:textId="77777777" w:rsidTr="00FE4D51">
        <w:trPr>
          <w:trHeight w:val="293"/>
        </w:trPr>
        <w:tc>
          <w:tcPr>
            <w:tcW w:w="9072" w:type="dxa"/>
            <w:gridSpan w:val="2"/>
            <w:tcBorders>
              <w:bottom w:val="nil"/>
              <w:right w:val="single" w:sz="4" w:space="0" w:color="0070C0"/>
            </w:tcBorders>
            <w:shd w:val="clear" w:color="auto" w:fill="0070C0"/>
            <w:vAlign w:val="center"/>
          </w:tcPr>
          <w:p w14:paraId="2D0C75CB" w14:textId="77777777" w:rsidR="00FE4D51" w:rsidRPr="009201A5" w:rsidRDefault="00FE4D51" w:rsidP="00FE4D51">
            <w:pPr>
              <w:pStyle w:val="INDICATORTEXT"/>
              <w:jc w:val="both"/>
              <w:rPr>
                <w:rStyle w:val="IntenseEmphasis"/>
                <w:i w:val="0"/>
                <w:color w:val="FFFFFF" w:themeColor="background1"/>
                <w:sz w:val="20"/>
              </w:rPr>
            </w:pPr>
            <w:r>
              <w:rPr>
                <w:rStyle w:val="IntenseEmphasis"/>
                <w:i w:val="0"/>
                <w:color w:val="FFFFFF" w:themeColor="background1"/>
                <w:sz w:val="20"/>
              </w:rPr>
              <w:lastRenderedPageBreak/>
              <w:t>ENGAGEMENTS SPLIT BY WHO CONDUCTS THEM</w:t>
            </w:r>
          </w:p>
        </w:tc>
      </w:tr>
      <w:tr w:rsidR="008E7B03" w:rsidRPr="00D93C4C" w14:paraId="2D0C75CF" w14:textId="77777777" w:rsidTr="00E225EC">
        <w:trPr>
          <w:trHeight w:val="293"/>
        </w:trPr>
        <w:tc>
          <w:tcPr>
            <w:tcW w:w="9072" w:type="dxa"/>
            <w:gridSpan w:val="2"/>
            <w:tcBorders>
              <w:top w:val="nil"/>
              <w:bottom w:val="single" w:sz="4" w:space="0" w:color="A6A6A6" w:themeColor="background1" w:themeShade="A6"/>
              <w:right w:val="single" w:sz="4" w:space="0" w:color="0070C0"/>
            </w:tcBorders>
            <w:vAlign w:val="center"/>
          </w:tcPr>
          <w:p w14:paraId="2D0C75CD" w14:textId="469CF912" w:rsidR="008E7B03" w:rsidRPr="00127F3B" w:rsidRDefault="008E7B03" w:rsidP="00C23AE8">
            <w:pPr>
              <w:pStyle w:val="INDICATORTEXT"/>
              <w:ind w:left="360"/>
              <w:jc w:val="both"/>
            </w:pPr>
            <w:r w:rsidRPr="00127F3B">
              <w:t>There are many different configurations of engagement. Investors engage with companies directly in their own name, in collaboration with other investors and through commercial service providers. The distinctions between these are not always clear-cut. Please use the definitions below and your best professional judgement when deciding how to classify your engagement. Review the process indicators for each category (LEA 03-04 for internal; LEA 05-06 for collaborative; and LEA 07-08 for service providers) and determine which indicator/s best fit your business model.</w:t>
            </w:r>
          </w:p>
          <w:p w14:paraId="2D0C75CE" w14:textId="77777777" w:rsidR="008E7B03" w:rsidRPr="00D93C4C" w:rsidRDefault="008E7B03" w:rsidP="00FC3703">
            <w:pPr>
              <w:pStyle w:val="INDICATORTEXT"/>
              <w:ind w:left="360"/>
              <w:jc w:val="both"/>
              <w:rPr>
                <w:szCs w:val="18"/>
              </w:rPr>
            </w:pPr>
            <w:r w:rsidRPr="00127F3B">
              <w:t xml:space="preserve">Please contact the Reporting and Assessment team if you require additional clarification. </w:t>
            </w:r>
            <w:r w:rsidR="00FC3703">
              <w:t xml:space="preserve">     </w:t>
            </w:r>
          </w:p>
        </w:tc>
      </w:tr>
      <w:tr w:rsidR="008E7B03" w:rsidRPr="00D93C4C" w14:paraId="2D0C75D5" w14:textId="77777777" w:rsidTr="00C23AE8">
        <w:trPr>
          <w:trHeight w:val="293"/>
        </w:trPr>
        <w:tc>
          <w:tcPr>
            <w:tcW w:w="1985" w:type="dxa"/>
            <w:tcBorders>
              <w:top w:val="single" w:sz="4" w:space="0" w:color="A6A6A6" w:themeColor="background1" w:themeShade="A6"/>
              <w:bottom w:val="single" w:sz="4" w:space="0" w:color="A6A6A6" w:themeColor="background1" w:themeShade="A6"/>
              <w:right w:val="single" w:sz="4" w:space="0" w:color="595959" w:themeColor="text1" w:themeTint="A6"/>
            </w:tcBorders>
            <w:shd w:val="clear" w:color="auto" w:fill="D9D9D9" w:themeFill="background1" w:themeFillShade="D9"/>
            <w:vAlign w:val="center"/>
          </w:tcPr>
          <w:p w14:paraId="2D0C75D0" w14:textId="77777777" w:rsidR="008E7B03" w:rsidRPr="00D93C4C" w:rsidRDefault="008E7B03" w:rsidP="00C23AE8">
            <w:pPr>
              <w:rPr>
                <w:sz w:val="18"/>
                <w:szCs w:val="18"/>
              </w:rPr>
            </w:pPr>
            <w:r w:rsidRPr="00127F3B">
              <w:rPr>
                <w:rFonts w:ascii="Alright Sans Regular" w:eastAsia="Times New Roman" w:hAnsi="Alright Sans Regular"/>
                <w:b/>
                <w:color w:val="595959"/>
                <w:sz w:val="18"/>
                <w:szCs w:val="18"/>
                <w:lang w:eastAsia="en-GB"/>
              </w:rPr>
              <w:t>Individual/ Internal staff</w:t>
            </w:r>
            <w:r w:rsidRPr="00D93C4C">
              <w:rPr>
                <w:sz w:val="18"/>
                <w:szCs w:val="18"/>
              </w:rPr>
              <w:t xml:space="preserve"> </w:t>
            </w:r>
            <w:r w:rsidRPr="00127F3B">
              <w:rPr>
                <w:rFonts w:ascii="Alright Sans Regular" w:eastAsia="Times New Roman" w:hAnsi="Alright Sans Regular"/>
                <w:b/>
                <w:color w:val="595959"/>
                <w:sz w:val="18"/>
                <w:szCs w:val="18"/>
                <w:lang w:eastAsia="en-GB"/>
              </w:rPr>
              <w:t>engagement</w:t>
            </w:r>
          </w:p>
        </w:tc>
        <w:tc>
          <w:tcPr>
            <w:tcW w:w="7087" w:type="dxa"/>
            <w:tcBorders>
              <w:top w:val="single" w:sz="4" w:space="0" w:color="A6A6A6" w:themeColor="background1" w:themeShade="A6"/>
              <w:left w:val="single" w:sz="4" w:space="0" w:color="595959" w:themeColor="text1" w:themeTint="A6"/>
              <w:bottom w:val="single" w:sz="4" w:space="0" w:color="A6A6A6" w:themeColor="background1" w:themeShade="A6"/>
              <w:right w:val="single" w:sz="4" w:space="0" w:color="0070C0"/>
            </w:tcBorders>
            <w:vAlign w:val="center"/>
          </w:tcPr>
          <w:p w14:paraId="2D0C75D1" w14:textId="77777777" w:rsidR="008E7B03" w:rsidRPr="00127F3B" w:rsidRDefault="008E7B03" w:rsidP="00C23AE8">
            <w:pPr>
              <w:pStyle w:val="INDICATORTEXT"/>
              <w:ind w:left="360"/>
              <w:jc w:val="both"/>
            </w:pPr>
            <w:r w:rsidRPr="00127F3B">
              <w:t>The defining characteristics of an individual/internal staff engagement  are:</w:t>
            </w:r>
          </w:p>
          <w:p w14:paraId="2D0C75D2" w14:textId="77777777" w:rsidR="008E7B03" w:rsidRPr="00127F3B" w:rsidRDefault="008E7B03" w:rsidP="00B610B4">
            <w:pPr>
              <w:pStyle w:val="INDICATORTEXT"/>
              <w:numPr>
                <w:ilvl w:val="0"/>
                <w:numId w:val="52"/>
              </w:numPr>
              <w:jc w:val="both"/>
            </w:pPr>
            <w:r w:rsidRPr="00127F3B">
              <w:t>it is carried out by your internal staff alone, with no involvement or support from other investors, investor networks or service provider</w:t>
            </w:r>
          </w:p>
          <w:p w14:paraId="2D0C75D3" w14:textId="77777777" w:rsidR="008E7B03" w:rsidRPr="00127F3B" w:rsidRDefault="008E7B03" w:rsidP="00B610B4">
            <w:pPr>
              <w:pStyle w:val="INDICATORTEXT"/>
              <w:numPr>
                <w:ilvl w:val="0"/>
                <w:numId w:val="52"/>
              </w:numPr>
              <w:jc w:val="both"/>
            </w:pPr>
            <w:r w:rsidRPr="00127F3B">
              <w:t>it is conducted in the name of your organisation (i.e. the companies with which you engage can identify your organisation individually)</w:t>
            </w:r>
            <w:r w:rsidR="006324B9">
              <w:t xml:space="preserve"> and you do not act on behalf of other organisations</w:t>
            </w:r>
            <w:r w:rsidRPr="00127F3B">
              <w:t xml:space="preserve">.  </w:t>
            </w:r>
          </w:p>
          <w:p w14:paraId="2D0C75D4" w14:textId="77777777" w:rsidR="008E7B03" w:rsidRPr="00D93C4C" w:rsidRDefault="008E7B03" w:rsidP="00142F46">
            <w:pPr>
              <w:pStyle w:val="INDICATORTEXT"/>
              <w:ind w:left="360"/>
              <w:jc w:val="both"/>
              <w:rPr>
                <w:szCs w:val="18"/>
              </w:rPr>
            </w:pPr>
            <w:r w:rsidRPr="00127F3B">
              <w:t xml:space="preserve">Joining the CDP should not be counted as an engagement but reported as part of the way you support responsible investment in Organisational Approach OA10. However, if your organisation engages in its own name with companies on their carbon emissions, water or forest footprint disclosure as a follow-up to CDP disclosure requests, you should report these engagements as individual/internal staff engagements. </w:t>
            </w:r>
          </w:p>
        </w:tc>
      </w:tr>
      <w:tr w:rsidR="008E7B03" w:rsidRPr="00D93C4C" w14:paraId="2D0C75DC" w14:textId="77777777" w:rsidTr="00C23AE8">
        <w:trPr>
          <w:trHeight w:val="293"/>
        </w:trPr>
        <w:tc>
          <w:tcPr>
            <w:tcW w:w="1985" w:type="dxa"/>
            <w:tcBorders>
              <w:top w:val="single" w:sz="4" w:space="0" w:color="A6A6A6" w:themeColor="background1" w:themeShade="A6"/>
              <w:bottom w:val="single" w:sz="4" w:space="0" w:color="A6A6A6" w:themeColor="background1" w:themeShade="A6"/>
              <w:right w:val="single" w:sz="4" w:space="0" w:color="595959" w:themeColor="text1" w:themeTint="A6"/>
            </w:tcBorders>
            <w:shd w:val="clear" w:color="auto" w:fill="D9D9D9" w:themeFill="background1" w:themeFillShade="D9"/>
            <w:vAlign w:val="center"/>
          </w:tcPr>
          <w:p w14:paraId="2D0C75D6" w14:textId="77777777" w:rsidR="008E7B03" w:rsidRPr="00D93C4C" w:rsidRDefault="008E7B03" w:rsidP="00C23AE8">
            <w:pPr>
              <w:rPr>
                <w:sz w:val="18"/>
                <w:szCs w:val="18"/>
              </w:rPr>
            </w:pPr>
            <w:r w:rsidRPr="00127F3B">
              <w:rPr>
                <w:rFonts w:ascii="Alright Sans Regular" w:eastAsia="Times New Roman" w:hAnsi="Alright Sans Regular"/>
                <w:b/>
                <w:color w:val="595959"/>
                <w:sz w:val="18"/>
                <w:szCs w:val="18"/>
                <w:lang w:eastAsia="en-GB"/>
              </w:rPr>
              <w:t>Collaborative engagement</w:t>
            </w:r>
          </w:p>
        </w:tc>
        <w:tc>
          <w:tcPr>
            <w:tcW w:w="7087" w:type="dxa"/>
            <w:tcBorders>
              <w:top w:val="single" w:sz="4" w:space="0" w:color="A6A6A6" w:themeColor="background1" w:themeShade="A6"/>
              <w:left w:val="single" w:sz="4" w:space="0" w:color="595959" w:themeColor="text1" w:themeTint="A6"/>
              <w:bottom w:val="single" w:sz="4" w:space="0" w:color="A6A6A6" w:themeColor="background1" w:themeShade="A6"/>
              <w:right w:val="single" w:sz="4" w:space="0" w:color="0070C0"/>
            </w:tcBorders>
            <w:vAlign w:val="center"/>
          </w:tcPr>
          <w:p w14:paraId="2D0C75D7" w14:textId="36E8EECB" w:rsidR="008E7B03" w:rsidRPr="00127F3B" w:rsidRDefault="008E7B03" w:rsidP="00C23AE8">
            <w:pPr>
              <w:pStyle w:val="INDICATORTEXT"/>
              <w:ind w:left="360"/>
              <w:jc w:val="both"/>
            </w:pPr>
            <w:r w:rsidRPr="00127F3B">
              <w:t xml:space="preserve">Collaborative engagement is engagement that an investor conducts jointly with other investors.  This </w:t>
            </w:r>
            <w:r w:rsidR="00CC577C">
              <w:t>might</w:t>
            </w:r>
            <w:r w:rsidR="00CE6D4B">
              <w:t xml:space="preserve"> </w:t>
            </w:r>
            <w:r w:rsidRPr="00127F3B">
              <w:t>include:</w:t>
            </w:r>
          </w:p>
          <w:p w14:paraId="2D0C75D8" w14:textId="77777777" w:rsidR="008E7B03" w:rsidRPr="00127F3B" w:rsidRDefault="008E7B03" w:rsidP="00B610B4">
            <w:pPr>
              <w:pStyle w:val="INDICATORTEXT"/>
              <w:numPr>
                <w:ilvl w:val="0"/>
                <w:numId w:val="52"/>
              </w:numPr>
              <w:jc w:val="both"/>
            </w:pPr>
            <w:r w:rsidRPr="00127F3B">
              <w:t>groups of investors working together without the involvement of a formal investor network or other membership organisation</w:t>
            </w:r>
            <w:r>
              <w:t>.</w:t>
            </w:r>
          </w:p>
          <w:p w14:paraId="2D0C75D9" w14:textId="0B480B76" w:rsidR="008E7B03" w:rsidRPr="00127F3B" w:rsidRDefault="008E7B03" w:rsidP="00B610B4">
            <w:pPr>
              <w:pStyle w:val="INDICATORTEXT"/>
              <w:numPr>
                <w:ilvl w:val="0"/>
                <w:numId w:val="52"/>
              </w:numPr>
              <w:jc w:val="both"/>
            </w:pPr>
            <w:r w:rsidRPr="00127F3B">
              <w:t>groups of investors working together with the support of a formal investor network or other membership organisation</w:t>
            </w:r>
            <w:r w:rsidR="00CE6D4B">
              <w:t>, including the PRI initiative.</w:t>
            </w:r>
            <w:r w:rsidRPr="00127F3B">
              <w:t>.</w:t>
            </w:r>
          </w:p>
          <w:p w14:paraId="0BC409F4" w14:textId="25D0CC77" w:rsidR="00DC4489" w:rsidRDefault="00DC4489" w:rsidP="00247554">
            <w:pPr>
              <w:pStyle w:val="INDICATORTEXT"/>
              <w:jc w:val="both"/>
            </w:pPr>
            <w:r>
              <w:t xml:space="preserve">Collaborative engagements might require different levels of involvement from participating investors. In some examples, formal networks provide support in terms of coordinating calls, defining objectives, tracking activities and measuring outcomes. In other circumstances, these activities are managed independently by investors in the coalition. </w:t>
            </w:r>
            <w:r w:rsidR="00F90A98">
              <w:t xml:space="preserve">Additionally, some members might have more a leading role than others (see further definition under engagement effort), </w:t>
            </w:r>
            <w:r w:rsidR="00CC577C">
              <w:t>Nonetheless</w:t>
            </w:r>
            <w:r>
              <w:t xml:space="preserve">, collaborative engagements included in this category should </w:t>
            </w:r>
            <w:r w:rsidR="00CC577C">
              <w:t>require the</w:t>
            </w:r>
            <w:r>
              <w:t xml:space="preserve"> individual members</w:t>
            </w:r>
            <w:r w:rsidR="00F90A98">
              <w:t xml:space="preserve"> to allocate some resources to </w:t>
            </w:r>
            <w:r w:rsidR="00CC577C">
              <w:t>and the engagement</w:t>
            </w:r>
            <w:r w:rsidR="00F90A98">
              <w:t>/or share information and expertise within the group.</w:t>
            </w:r>
          </w:p>
          <w:p w14:paraId="04679EE6" w14:textId="59F0C006" w:rsidR="00F90A98" w:rsidRDefault="00F90A98" w:rsidP="00247554">
            <w:pPr>
              <w:pStyle w:val="INDICATORTEXT"/>
              <w:jc w:val="both"/>
            </w:pPr>
            <w:r>
              <w:t>Collaborative engagements posted on the Clearinghouse and/or coordinated by the PRI staff (i.e. Investor Engagements team) should be included in this indicator.</w:t>
            </w:r>
          </w:p>
          <w:p w14:paraId="2D0C75DB" w14:textId="7ABE87B1" w:rsidR="008E7B03" w:rsidRPr="00896472" w:rsidRDefault="00DC4489" w:rsidP="00247554">
            <w:pPr>
              <w:pStyle w:val="INDICATORTEXT"/>
              <w:jc w:val="both"/>
            </w:pPr>
            <w:r>
              <w:t xml:space="preserve"> </w:t>
            </w:r>
            <w:r w:rsidR="00142F46" w:rsidRPr="00127F3B">
              <w:t>Joining the CDP should not be counted as an engagement but reported as part of the way you support responsible investment in Organisational</w:t>
            </w:r>
            <w:r w:rsidR="00142F46">
              <w:t xml:space="preserve"> Approach OA10. However, if your organisation engages with a group of investors</w:t>
            </w:r>
            <w:r w:rsidR="00142F46" w:rsidRPr="00127F3B">
              <w:t xml:space="preserve"> in its own name with companies on their carbon emissions, water or forest footprint disclosure as a follow-up to CDP disclosure requests, you should report these engagements as </w:t>
            </w:r>
            <w:r w:rsidR="00247554">
              <w:t>collaborative</w:t>
            </w:r>
            <w:r w:rsidR="00142F46" w:rsidRPr="00127F3B">
              <w:t xml:space="preserve"> engagements.</w:t>
            </w:r>
          </w:p>
        </w:tc>
      </w:tr>
      <w:tr w:rsidR="008E7B03" w:rsidRPr="00D93C4C" w14:paraId="2D0C75E2" w14:textId="77777777" w:rsidTr="00C23AE8">
        <w:trPr>
          <w:trHeight w:val="2401"/>
        </w:trPr>
        <w:tc>
          <w:tcPr>
            <w:tcW w:w="1985" w:type="dxa"/>
            <w:tcBorders>
              <w:top w:val="single" w:sz="4" w:space="0" w:color="A6A6A6" w:themeColor="background1" w:themeShade="A6"/>
              <w:right w:val="single" w:sz="4" w:space="0" w:color="595959" w:themeColor="text1" w:themeTint="A6"/>
            </w:tcBorders>
            <w:shd w:val="clear" w:color="auto" w:fill="D9D9D9" w:themeFill="background1" w:themeFillShade="D9"/>
            <w:vAlign w:val="center"/>
          </w:tcPr>
          <w:p w14:paraId="2D0C75DD" w14:textId="77777777" w:rsidR="008E7B03" w:rsidRPr="00D93C4C" w:rsidRDefault="008E7B03" w:rsidP="00C23AE8">
            <w:pPr>
              <w:rPr>
                <w:sz w:val="18"/>
                <w:szCs w:val="18"/>
              </w:rPr>
            </w:pPr>
            <w:r w:rsidRPr="00127F3B">
              <w:rPr>
                <w:rFonts w:ascii="Alright Sans Regular" w:eastAsia="Times New Roman" w:hAnsi="Alright Sans Regular"/>
                <w:b/>
                <w:color w:val="595959"/>
                <w:sz w:val="18"/>
                <w:szCs w:val="18"/>
                <w:lang w:eastAsia="en-GB"/>
              </w:rPr>
              <w:t>Service provider engagement</w:t>
            </w:r>
          </w:p>
        </w:tc>
        <w:tc>
          <w:tcPr>
            <w:tcW w:w="7087" w:type="dxa"/>
            <w:tcBorders>
              <w:top w:val="single" w:sz="4" w:space="0" w:color="A6A6A6" w:themeColor="background1" w:themeShade="A6"/>
              <w:left w:val="single" w:sz="4" w:space="0" w:color="595959" w:themeColor="text1" w:themeTint="A6"/>
              <w:right w:val="single" w:sz="4" w:space="0" w:color="0070C0"/>
            </w:tcBorders>
            <w:vAlign w:val="center"/>
          </w:tcPr>
          <w:p w14:paraId="2D0C75DE" w14:textId="77777777" w:rsidR="008E7B03" w:rsidRPr="00127F3B" w:rsidRDefault="008E7B03" w:rsidP="00C23AE8">
            <w:pPr>
              <w:pStyle w:val="INDICATORTEXT"/>
              <w:ind w:left="360"/>
              <w:jc w:val="both"/>
            </w:pPr>
            <w:r w:rsidRPr="00127F3B">
              <w:t>Service provider engagements include  engagements conducted via:</w:t>
            </w:r>
          </w:p>
          <w:p w14:paraId="2D0C75DF" w14:textId="77777777" w:rsidR="008E7B03" w:rsidRPr="00127F3B" w:rsidRDefault="008E7B03" w:rsidP="00B610B4">
            <w:pPr>
              <w:pStyle w:val="INDICATORTEXT"/>
              <w:numPr>
                <w:ilvl w:val="0"/>
                <w:numId w:val="52"/>
              </w:numPr>
              <w:jc w:val="both"/>
            </w:pPr>
            <w:r w:rsidRPr="00127F3B">
              <w:t>commercial parties that provide stand-alone engagement services, without managing their clients’ underlying assets</w:t>
            </w:r>
            <w:r>
              <w:t>.</w:t>
            </w:r>
          </w:p>
          <w:p w14:paraId="2D0C75E0" w14:textId="77777777" w:rsidR="008E7B03" w:rsidRPr="00127F3B" w:rsidRDefault="008E7B03" w:rsidP="00B610B4">
            <w:pPr>
              <w:pStyle w:val="INDICATORTEXT"/>
              <w:numPr>
                <w:ilvl w:val="0"/>
                <w:numId w:val="52"/>
              </w:numPr>
              <w:jc w:val="both"/>
            </w:pPr>
            <w:r w:rsidRPr="00127F3B">
              <w:t>investor organisations that conduct engagement on their members’ behalf, and which have an explicit mandate from their members to represent them.</w:t>
            </w:r>
          </w:p>
          <w:p w14:paraId="2D0C75E1" w14:textId="77777777" w:rsidR="008E7B03" w:rsidRPr="00D93C4C" w:rsidRDefault="008E7B03" w:rsidP="00366569">
            <w:pPr>
              <w:pStyle w:val="INDICATORTEXT"/>
              <w:ind w:left="360"/>
              <w:jc w:val="both"/>
              <w:rPr>
                <w:szCs w:val="18"/>
              </w:rPr>
            </w:pPr>
            <w:r w:rsidRPr="00127F3B">
              <w:t>These</w:t>
            </w:r>
            <w:r w:rsidR="006324B9">
              <w:t xml:space="preserve"> </w:t>
            </w:r>
            <w:r w:rsidRPr="00127F3B">
              <w:t>include engagement</w:t>
            </w:r>
            <w:r w:rsidR="006324B9">
              <w:t>s</w:t>
            </w:r>
            <w:r w:rsidRPr="00127F3B">
              <w:t xml:space="preserve"> conducted entirely on an outsourced basis</w:t>
            </w:r>
            <w:r w:rsidR="006324B9">
              <w:t xml:space="preserve"> as well as those </w:t>
            </w:r>
            <w:r w:rsidRPr="00127F3B">
              <w:t>facilitated by the service provider but the investor’s own staff undertake some of the engagement activity.</w:t>
            </w:r>
            <w:r w:rsidRPr="00D93C4C">
              <w:rPr>
                <w:szCs w:val="18"/>
              </w:rPr>
              <w:t xml:space="preserve">     </w:t>
            </w:r>
            <w:r w:rsidR="006324B9">
              <w:rPr>
                <w:szCs w:val="18"/>
              </w:rPr>
              <w:t xml:space="preserve">  </w:t>
            </w:r>
          </w:p>
        </w:tc>
      </w:tr>
    </w:tbl>
    <w:p w14:paraId="2D0C75E3" w14:textId="77777777" w:rsidR="004366C9" w:rsidRDefault="004366C9">
      <w:pPr>
        <w:widowControl/>
        <w:autoSpaceDE/>
        <w:autoSpaceDN/>
        <w:adjustRightInd/>
        <w:spacing w:before="0" w:after="0" w:line="240" w:lineRule="auto"/>
        <w:rPr>
          <w:b/>
          <w:bCs/>
          <w:color w:val="008CD0"/>
          <w:sz w:val="24"/>
          <w:szCs w:val="24"/>
        </w:rPr>
      </w:pPr>
      <w:r>
        <w:br w:type="page"/>
      </w:r>
    </w:p>
    <w:tbl>
      <w:tblPr>
        <w:tblW w:w="9180"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A0" w:firstRow="1" w:lastRow="0" w:firstColumn="1" w:lastColumn="0" w:noHBand="0" w:noVBand="0"/>
      </w:tblPr>
      <w:tblGrid>
        <w:gridCol w:w="9180"/>
      </w:tblGrid>
      <w:tr w:rsidR="004366C9" w:rsidRPr="00D93C4C" w14:paraId="2D0C75E5" w14:textId="77777777" w:rsidTr="004366C9">
        <w:trPr>
          <w:trHeight w:val="293"/>
        </w:trPr>
        <w:tc>
          <w:tcPr>
            <w:tcW w:w="9180" w:type="dxa"/>
            <w:shd w:val="clear" w:color="auto" w:fill="0070C0"/>
            <w:vAlign w:val="center"/>
          </w:tcPr>
          <w:p w14:paraId="2D0C75E4" w14:textId="77777777" w:rsidR="004366C9" w:rsidRPr="008E3824" w:rsidRDefault="004366C9" w:rsidP="00C23AE8">
            <w:pPr>
              <w:pStyle w:val="INDICATORTEXT"/>
              <w:ind w:left="360"/>
              <w:jc w:val="both"/>
            </w:pPr>
            <w:r>
              <w:rPr>
                <w:rStyle w:val="IntenseEmphasis"/>
                <w:i w:val="0"/>
                <w:color w:val="FFFFFF" w:themeColor="background1"/>
                <w:sz w:val="20"/>
              </w:rPr>
              <w:lastRenderedPageBreak/>
              <w:t>ENGAGEMENT INTENSITY AND EFFORT</w:t>
            </w:r>
          </w:p>
        </w:tc>
      </w:tr>
      <w:tr w:rsidR="00B610B4" w:rsidRPr="00D93C4C" w14:paraId="2D0C75E7" w14:textId="77777777" w:rsidTr="00C23AE8">
        <w:trPr>
          <w:trHeight w:val="293"/>
        </w:trPr>
        <w:tc>
          <w:tcPr>
            <w:tcW w:w="9180" w:type="dxa"/>
            <w:vAlign w:val="center"/>
          </w:tcPr>
          <w:p w14:paraId="2D0C75E6" w14:textId="77777777" w:rsidR="00B610B4" w:rsidRPr="00D93C4C" w:rsidRDefault="00B610B4" w:rsidP="00247554">
            <w:pPr>
              <w:pStyle w:val="INDICATORTEXT"/>
              <w:ind w:left="360"/>
              <w:jc w:val="both"/>
              <w:rPr>
                <w:szCs w:val="18"/>
              </w:rPr>
            </w:pPr>
            <w:r w:rsidRPr="008E3824">
              <w:t>Investors interact with companies and issuers at different levels of intensity</w:t>
            </w:r>
            <w:r w:rsidR="00247554">
              <w:t xml:space="preserve"> and effort</w:t>
            </w:r>
            <w:r w:rsidRPr="008E3824">
              <w:t xml:space="preserve">. </w:t>
            </w:r>
            <w:r w:rsidR="00247554">
              <w:t>The l</w:t>
            </w:r>
            <w:r w:rsidRPr="008E3824">
              <w:t>evels of intensity and effort are defined below.</w:t>
            </w:r>
          </w:p>
        </w:tc>
      </w:tr>
    </w:tbl>
    <w:p w14:paraId="2D0C75E8" w14:textId="77777777" w:rsidR="00B610B4" w:rsidRDefault="00B610B4" w:rsidP="00B610B4">
      <w:pPr>
        <w:pStyle w:val="Heading4"/>
      </w:pPr>
    </w:p>
    <w:tbl>
      <w:tblPr>
        <w:tblW w:w="9207" w:type="dxa"/>
        <w:tblBorders>
          <w:top w:val="single" w:sz="4" w:space="0" w:color="0070C0"/>
          <w:left w:val="single" w:sz="4" w:space="0" w:color="0070C0"/>
          <w:bottom w:val="single" w:sz="4" w:space="0" w:color="0070C0"/>
          <w:right w:val="single" w:sz="4" w:space="0" w:color="0070C0"/>
          <w:insideH w:val="single" w:sz="4" w:space="0" w:color="595959" w:themeColor="text1" w:themeTint="A6"/>
          <w:insideV w:val="single" w:sz="4" w:space="0" w:color="595959" w:themeColor="text1" w:themeTint="A6"/>
        </w:tblBorders>
        <w:tblLook w:val="00A0" w:firstRow="1" w:lastRow="0" w:firstColumn="1" w:lastColumn="0" w:noHBand="0" w:noVBand="0"/>
      </w:tblPr>
      <w:tblGrid>
        <w:gridCol w:w="2098"/>
        <w:gridCol w:w="7109"/>
      </w:tblGrid>
      <w:tr w:rsidR="008E7B03" w:rsidRPr="00D93C4C" w14:paraId="2D0C75EB" w14:textId="77777777" w:rsidTr="008E7B03">
        <w:trPr>
          <w:trHeight w:val="293"/>
        </w:trPr>
        <w:tc>
          <w:tcPr>
            <w:tcW w:w="2098" w:type="dxa"/>
            <w:tcBorders>
              <w:top w:val="single" w:sz="4" w:space="0" w:color="0070C0"/>
              <w:bottom w:val="nil"/>
              <w:right w:val="single" w:sz="4" w:space="0" w:color="F2F2F2" w:themeColor="background1" w:themeShade="F2"/>
            </w:tcBorders>
            <w:shd w:val="clear" w:color="auto" w:fill="00B0F0"/>
            <w:vAlign w:val="center"/>
          </w:tcPr>
          <w:p w14:paraId="2D0C75E9" w14:textId="77777777" w:rsidR="008E7B03" w:rsidRPr="009201A5" w:rsidRDefault="008E7B03" w:rsidP="007D3447">
            <w:pPr>
              <w:pStyle w:val="INDICATORTEXT"/>
              <w:jc w:val="both"/>
              <w:rPr>
                <w:rFonts w:ascii="Alright Sans Regular" w:hAnsi="Alright Sans Regular"/>
                <w:b/>
                <w:i/>
              </w:rPr>
            </w:pPr>
            <w:r w:rsidRPr="009201A5">
              <w:rPr>
                <w:rStyle w:val="IntenseEmphasis"/>
                <w:b w:val="0"/>
                <w:i w:val="0"/>
                <w:color w:val="FFFFFF" w:themeColor="background1"/>
                <w:sz w:val="20"/>
              </w:rPr>
              <w:t xml:space="preserve">Definition </w:t>
            </w:r>
          </w:p>
        </w:tc>
        <w:tc>
          <w:tcPr>
            <w:tcW w:w="7109" w:type="dxa"/>
            <w:tcBorders>
              <w:top w:val="single" w:sz="4" w:space="0" w:color="0070C0"/>
              <w:left w:val="single" w:sz="4" w:space="0" w:color="F2F2F2" w:themeColor="background1" w:themeShade="F2"/>
              <w:bottom w:val="nil"/>
            </w:tcBorders>
            <w:shd w:val="clear" w:color="auto" w:fill="0070C0"/>
            <w:vAlign w:val="center"/>
          </w:tcPr>
          <w:p w14:paraId="2D0C75EA" w14:textId="77777777" w:rsidR="008E7B03" w:rsidRPr="009201A5" w:rsidRDefault="008E7B03" w:rsidP="007D3447">
            <w:pPr>
              <w:pStyle w:val="INDICATORTEXT"/>
              <w:jc w:val="both"/>
              <w:rPr>
                <w:rStyle w:val="IntenseEmphasis"/>
                <w:i w:val="0"/>
                <w:color w:val="FFFFFF" w:themeColor="background1"/>
                <w:sz w:val="20"/>
              </w:rPr>
            </w:pPr>
            <w:r>
              <w:rPr>
                <w:rStyle w:val="IntenseEmphasis"/>
                <w:i w:val="0"/>
                <w:color w:val="FFFFFF" w:themeColor="background1"/>
                <w:sz w:val="20"/>
              </w:rPr>
              <w:t>ENGAGEMENT INTENSITY</w:t>
            </w:r>
          </w:p>
        </w:tc>
      </w:tr>
      <w:tr w:rsidR="008E7B03" w:rsidRPr="00D93C4C" w14:paraId="2D0C75EF" w14:textId="77777777" w:rsidTr="00247554">
        <w:trPr>
          <w:trHeight w:val="293"/>
        </w:trPr>
        <w:tc>
          <w:tcPr>
            <w:tcW w:w="2098" w:type="dxa"/>
            <w:tcBorders>
              <w:top w:val="nil"/>
            </w:tcBorders>
            <w:shd w:val="clear" w:color="auto" w:fill="D9D9D9" w:themeFill="background1" w:themeFillShade="D9"/>
            <w:vAlign w:val="center"/>
          </w:tcPr>
          <w:p w14:paraId="2D0C75EC" w14:textId="77777777" w:rsidR="00247554" w:rsidRDefault="008E7B03" w:rsidP="00C23AE8">
            <w:pPr>
              <w:rPr>
                <w:rFonts w:ascii="Alright Sans Regular" w:eastAsia="Times New Roman" w:hAnsi="Alright Sans Regular"/>
                <w:b/>
                <w:color w:val="595959"/>
                <w:sz w:val="18"/>
                <w:szCs w:val="18"/>
                <w:lang w:eastAsia="en-GB"/>
              </w:rPr>
            </w:pPr>
            <w:r w:rsidRPr="008E3824">
              <w:rPr>
                <w:rFonts w:ascii="Alright Sans Regular" w:eastAsia="Times New Roman" w:hAnsi="Alright Sans Regular"/>
                <w:b/>
                <w:color w:val="595959"/>
                <w:sz w:val="18"/>
                <w:szCs w:val="18"/>
                <w:lang w:eastAsia="en-GB"/>
              </w:rPr>
              <w:t xml:space="preserve">Comprehensive engagement </w:t>
            </w:r>
          </w:p>
          <w:p w14:paraId="2D0C75ED" w14:textId="352053D0" w:rsidR="008E7B03" w:rsidRPr="00D93C4C" w:rsidRDefault="008E7B03" w:rsidP="006D6EDF">
            <w:pPr>
              <w:rPr>
                <w:sz w:val="18"/>
                <w:szCs w:val="18"/>
              </w:rPr>
            </w:pPr>
            <w:r w:rsidRPr="008E3824">
              <w:rPr>
                <w:rFonts w:ascii="Alright Sans Regular" w:eastAsia="Times New Roman" w:hAnsi="Alright Sans Regular"/>
                <w:b/>
                <w:color w:val="595959"/>
                <w:sz w:val="18"/>
                <w:szCs w:val="18"/>
                <w:lang w:eastAsia="en-GB"/>
              </w:rPr>
              <w:t xml:space="preserve">(for </w:t>
            </w:r>
            <w:r w:rsidR="006D6EDF">
              <w:rPr>
                <w:rFonts w:ascii="Alright Sans Regular" w:eastAsia="Times New Roman" w:hAnsi="Alright Sans Regular"/>
                <w:b/>
                <w:color w:val="595959"/>
                <w:sz w:val="18"/>
                <w:szCs w:val="18"/>
                <w:lang w:eastAsia="en-GB"/>
              </w:rPr>
              <w:t>all engagement types)</w:t>
            </w:r>
            <w:bookmarkStart w:id="9" w:name="_GoBack"/>
            <w:bookmarkEnd w:id="9"/>
          </w:p>
        </w:tc>
        <w:tc>
          <w:tcPr>
            <w:tcW w:w="7109" w:type="dxa"/>
            <w:tcBorders>
              <w:top w:val="nil"/>
            </w:tcBorders>
          </w:tcPr>
          <w:p w14:paraId="2D0C75EE" w14:textId="77777777" w:rsidR="00944BD1" w:rsidRDefault="008E7B03" w:rsidP="001D5C62">
            <w:pPr>
              <w:pStyle w:val="INDICATORTEXT"/>
              <w:ind w:left="360"/>
            </w:pPr>
            <w:r w:rsidRPr="008E3824">
              <w:t>A comprehensive engagement  includes multiple, substantive</w:t>
            </w:r>
            <w:r>
              <w:t>, detailed</w:t>
            </w:r>
            <w:r w:rsidRPr="008E3824">
              <w:t xml:space="preserve"> discussions or interactions with a company (e.g. letters, meetings and calls) relating to a particular ESG issue.    </w:t>
            </w:r>
          </w:p>
        </w:tc>
      </w:tr>
    </w:tbl>
    <w:p w14:paraId="2D0C75F0" w14:textId="77777777" w:rsidR="00B610B4" w:rsidRDefault="00B610B4" w:rsidP="00B610B4">
      <w:pPr>
        <w:pStyle w:val="Heading4"/>
      </w:pPr>
    </w:p>
    <w:tbl>
      <w:tblPr>
        <w:tblW w:w="9241"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A0" w:firstRow="1" w:lastRow="0" w:firstColumn="1" w:lastColumn="0" w:noHBand="0" w:noVBand="0"/>
      </w:tblPr>
      <w:tblGrid>
        <w:gridCol w:w="2154"/>
        <w:gridCol w:w="7087"/>
      </w:tblGrid>
      <w:tr w:rsidR="008E7B03" w:rsidRPr="00D93C4C" w14:paraId="2D0C75F3" w14:textId="77777777" w:rsidTr="008E7B03">
        <w:trPr>
          <w:trHeight w:val="293"/>
        </w:trPr>
        <w:tc>
          <w:tcPr>
            <w:tcW w:w="2154" w:type="dxa"/>
            <w:tcBorders>
              <w:bottom w:val="nil"/>
              <w:right w:val="single" w:sz="4" w:space="0" w:color="F2F2F2" w:themeColor="background1" w:themeShade="F2"/>
            </w:tcBorders>
            <w:shd w:val="clear" w:color="auto" w:fill="00B0F0"/>
            <w:vAlign w:val="center"/>
          </w:tcPr>
          <w:p w14:paraId="2D0C75F1" w14:textId="77777777" w:rsidR="008E7B03" w:rsidRPr="009201A5" w:rsidRDefault="008E7B03" w:rsidP="007D3447">
            <w:pPr>
              <w:pStyle w:val="INDICATORTEXT"/>
              <w:jc w:val="both"/>
              <w:rPr>
                <w:rFonts w:ascii="Alright Sans Regular" w:hAnsi="Alright Sans Regular"/>
                <w:b/>
                <w:i/>
              </w:rPr>
            </w:pPr>
            <w:r w:rsidRPr="009201A5">
              <w:rPr>
                <w:rStyle w:val="IntenseEmphasis"/>
                <w:b w:val="0"/>
                <w:i w:val="0"/>
                <w:color w:val="FFFFFF" w:themeColor="background1"/>
                <w:sz w:val="20"/>
              </w:rPr>
              <w:t>Definition</w:t>
            </w:r>
          </w:p>
        </w:tc>
        <w:tc>
          <w:tcPr>
            <w:tcW w:w="7087" w:type="dxa"/>
            <w:tcBorders>
              <w:left w:val="single" w:sz="4" w:space="0" w:color="F2F2F2" w:themeColor="background1" w:themeShade="F2"/>
              <w:bottom w:val="nil"/>
            </w:tcBorders>
            <w:shd w:val="clear" w:color="auto" w:fill="0070C0"/>
            <w:vAlign w:val="center"/>
          </w:tcPr>
          <w:p w14:paraId="2D0C75F2" w14:textId="77777777" w:rsidR="008E7B03" w:rsidRPr="009201A5" w:rsidRDefault="008E7B03" w:rsidP="007D3447">
            <w:pPr>
              <w:pStyle w:val="INDICATORTEXT"/>
              <w:jc w:val="both"/>
              <w:rPr>
                <w:rStyle w:val="IntenseEmphasis"/>
                <w:i w:val="0"/>
                <w:color w:val="FFFFFF" w:themeColor="background1"/>
                <w:sz w:val="20"/>
              </w:rPr>
            </w:pPr>
            <w:r>
              <w:rPr>
                <w:rStyle w:val="IntenseEmphasis"/>
                <w:i w:val="0"/>
                <w:color w:val="FFFFFF" w:themeColor="background1"/>
                <w:sz w:val="20"/>
              </w:rPr>
              <w:t>ENGAGEMENT EFFORT</w:t>
            </w:r>
          </w:p>
        </w:tc>
      </w:tr>
      <w:tr w:rsidR="008E7B03" w:rsidRPr="00D93C4C" w14:paraId="2D0C75F7" w14:textId="77777777" w:rsidTr="008E7B03">
        <w:trPr>
          <w:trHeight w:val="293"/>
        </w:trPr>
        <w:tc>
          <w:tcPr>
            <w:tcW w:w="2154" w:type="dxa"/>
            <w:tcBorders>
              <w:top w:val="nil"/>
              <w:bottom w:val="single" w:sz="4" w:space="0" w:color="A6A6A6" w:themeColor="background1" w:themeShade="A6"/>
              <w:right w:val="single" w:sz="4" w:space="0" w:color="595959" w:themeColor="text1" w:themeTint="A6"/>
            </w:tcBorders>
            <w:shd w:val="clear" w:color="auto" w:fill="D9D9D9" w:themeFill="background1" w:themeFillShade="D9"/>
            <w:vAlign w:val="center"/>
          </w:tcPr>
          <w:p w14:paraId="2D0C75F4" w14:textId="77777777" w:rsidR="00247554" w:rsidRDefault="008E7B03" w:rsidP="00C23AE8">
            <w:pPr>
              <w:rPr>
                <w:rFonts w:ascii="Alright Sans Regular" w:eastAsia="Times New Roman" w:hAnsi="Alright Sans Regular"/>
                <w:b/>
                <w:color w:val="595959"/>
                <w:sz w:val="18"/>
                <w:szCs w:val="18"/>
                <w:lang w:eastAsia="en-GB"/>
              </w:rPr>
            </w:pPr>
            <w:r w:rsidRPr="008E3824">
              <w:rPr>
                <w:rFonts w:ascii="Alright Sans Regular" w:eastAsia="Times New Roman" w:hAnsi="Alright Sans Regular"/>
                <w:b/>
                <w:color w:val="595959"/>
                <w:sz w:val="18"/>
                <w:szCs w:val="18"/>
                <w:lang w:eastAsia="en-GB"/>
              </w:rPr>
              <w:t xml:space="preserve">Leading role </w:t>
            </w:r>
          </w:p>
          <w:p w14:paraId="2D0C75F5" w14:textId="77777777" w:rsidR="008E7B03" w:rsidRPr="008E3824" w:rsidRDefault="008E7B03" w:rsidP="00C23AE8">
            <w:pPr>
              <w:rPr>
                <w:rFonts w:ascii="Alright Sans Regular" w:eastAsia="Times New Roman" w:hAnsi="Alright Sans Regular"/>
                <w:b/>
                <w:color w:val="595959"/>
                <w:sz w:val="18"/>
                <w:szCs w:val="18"/>
                <w:lang w:eastAsia="en-GB"/>
              </w:rPr>
            </w:pPr>
            <w:r w:rsidRPr="008E3824">
              <w:rPr>
                <w:rFonts w:ascii="Alright Sans Regular" w:eastAsia="Times New Roman" w:hAnsi="Alright Sans Regular"/>
                <w:b/>
                <w:color w:val="595959"/>
                <w:sz w:val="18"/>
                <w:szCs w:val="18"/>
                <w:lang w:eastAsia="en-GB"/>
              </w:rPr>
              <w:t>(for collaborative engagements)</w:t>
            </w:r>
          </w:p>
        </w:tc>
        <w:tc>
          <w:tcPr>
            <w:tcW w:w="7087" w:type="dxa"/>
            <w:tcBorders>
              <w:top w:val="nil"/>
              <w:left w:val="single" w:sz="4" w:space="0" w:color="595959" w:themeColor="text1" w:themeTint="A6"/>
              <w:bottom w:val="single" w:sz="4" w:space="0" w:color="A6A6A6" w:themeColor="background1" w:themeShade="A6"/>
            </w:tcBorders>
            <w:vAlign w:val="center"/>
          </w:tcPr>
          <w:p w14:paraId="55527B8B" w14:textId="77777777" w:rsidR="008E7B03" w:rsidRDefault="008E7B03" w:rsidP="00247554">
            <w:pPr>
              <w:pStyle w:val="INDICATORTEXT"/>
              <w:ind w:left="360"/>
              <w:jc w:val="both"/>
            </w:pPr>
            <w:r w:rsidRPr="008E3824">
              <w:t>Defined as writing and/or following up on joint letters, regularly joining group conference calls, leading dialogue with companies, participating in some meetings with companies organised by other investors, and sharing relevant information on the topic and companies with other members of the collaboration.</w:t>
            </w:r>
          </w:p>
          <w:p w14:paraId="2D0C75F6" w14:textId="09716021" w:rsidR="00F90A98" w:rsidRPr="008E3824" w:rsidRDefault="00F90A98" w:rsidP="00CC577C">
            <w:pPr>
              <w:pStyle w:val="INDICATORTEXT"/>
              <w:ind w:left="360"/>
              <w:jc w:val="both"/>
            </w:pPr>
            <w:r>
              <w:t xml:space="preserve">Note that leading investors cover all the activities mentioned above. Joining group conference calls, participating in some meetings with companies organized by other investors and sharing information alone will not </w:t>
            </w:r>
            <w:r w:rsidR="00CC577C">
              <w:t>constitute a</w:t>
            </w:r>
            <w:r>
              <w:t xml:space="preserve"> leading role.</w:t>
            </w:r>
          </w:p>
        </w:tc>
      </w:tr>
      <w:tr w:rsidR="008E7B03" w:rsidRPr="00D93C4C" w14:paraId="2D0C75FF" w14:textId="77777777" w:rsidTr="00C23AE8">
        <w:trPr>
          <w:trHeight w:val="547"/>
        </w:trPr>
        <w:tc>
          <w:tcPr>
            <w:tcW w:w="2154" w:type="dxa"/>
            <w:tcBorders>
              <w:top w:val="single" w:sz="4" w:space="0" w:color="A6A6A6" w:themeColor="background1" w:themeShade="A6"/>
              <w:right w:val="single" w:sz="4" w:space="0" w:color="595959" w:themeColor="text1" w:themeTint="A6"/>
            </w:tcBorders>
            <w:shd w:val="clear" w:color="auto" w:fill="D9D9D9" w:themeFill="background1" w:themeFillShade="D9"/>
            <w:vAlign w:val="center"/>
          </w:tcPr>
          <w:p w14:paraId="2D0C75F8" w14:textId="77777777" w:rsidR="00247554" w:rsidRDefault="008E7B03" w:rsidP="00C23AE8">
            <w:pPr>
              <w:rPr>
                <w:rFonts w:ascii="Alright Sans Regular" w:eastAsia="Times New Roman" w:hAnsi="Alright Sans Regular"/>
                <w:b/>
                <w:color w:val="595959"/>
                <w:sz w:val="18"/>
                <w:szCs w:val="18"/>
                <w:lang w:eastAsia="en-GB"/>
              </w:rPr>
            </w:pPr>
            <w:r w:rsidRPr="008E3824">
              <w:rPr>
                <w:rFonts w:ascii="Alright Sans Regular" w:eastAsia="Times New Roman" w:hAnsi="Alright Sans Regular"/>
                <w:b/>
                <w:color w:val="595959"/>
                <w:sz w:val="18"/>
                <w:szCs w:val="18"/>
                <w:lang w:eastAsia="en-GB"/>
              </w:rPr>
              <w:t xml:space="preserve">High involvement engagements </w:t>
            </w:r>
          </w:p>
          <w:p w14:paraId="2D0C75F9" w14:textId="77777777" w:rsidR="008E7B03" w:rsidRPr="008E3824" w:rsidRDefault="008E7B03" w:rsidP="00C23AE8">
            <w:pPr>
              <w:rPr>
                <w:rFonts w:ascii="Alright Sans Regular" w:eastAsia="Times New Roman" w:hAnsi="Alright Sans Regular"/>
                <w:b/>
                <w:color w:val="595959"/>
                <w:sz w:val="18"/>
                <w:szCs w:val="18"/>
                <w:lang w:eastAsia="en-GB"/>
              </w:rPr>
            </w:pPr>
            <w:r w:rsidRPr="008E3824">
              <w:rPr>
                <w:rFonts w:ascii="Alright Sans Regular" w:eastAsia="Times New Roman" w:hAnsi="Alright Sans Regular"/>
                <w:b/>
                <w:color w:val="595959"/>
                <w:sz w:val="18"/>
                <w:szCs w:val="18"/>
                <w:lang w:eastAsia="en-GB"/>
              </w:rPr>
              <w:t>(for service provider engagements)</w:t>
            </w:r>
          </w:p>
        </w:tc>
        <w:tc>
          <w:tcPr>
            <w:tcW w:w="7087" w:type="dxa"/>
            <w:tcBorders>
              <w:top w:val="single" w:sz="4" w:space="0" w:color="A6A6A6" w:themeColor="background1" w:themeShade="A6"/>
              <w:left w:val="single" w:sz="4" w:space="0" w:color="595959" w:themeColor="text1" w:themeTint="A6"/>
            </w:tcBorders>
            <w:vAlign w:val="center"/>
          </w:tcPr>
          <w:p w14:paraId="2D0C75FA" w14:textId="77777777" w:rsidR="008E7B03" w:rsidRPr="008E3824" w:rsidRDefault="008E7B03" w:rsidP="00C23AE8">
            <w:pPr>
              <w:pStyle w:val="INDICATORTEXT"/>
              <w:ind w:left="360"/>
              <w:jc w:val="both"/>
            </w:pPr>
            <w:r w:rsidRPr="008E3824">
              <w:t>Defined as situations where you:</w:t>
            </w:r>
          </w:p>
          <w:p w14:paraId="2D0C75FB" w14:textId="77777777" w:rsidR="008E7B03" w:rsidRPr="008E3824" w:rsidRDefault="008E7B03" w:rsidP="00B610B4">
            <w:pPr>
              <w:pStyle w:val="INDICATORTEXT"/>
              <w:numPr>
                <w:ilvl w:val="0"/>
                <w:numId w:val="52"/>
              </w:numPr>
              <w:jc w:val="both"/>
            </w:pPr>
            <w:r w:rsidRPr="008E3824">
              <w:t>spend significant time and effort setting goals and objectives for specific engagements and monitor them proactively; and/or,</w:t>
            </w:r>
          </w:p>
          <w:p w14:paraId="2D0C75FC" w14:textId="77777777" w:rsidR="008E7B03" w:rsidRPr="008E3824" w:rsidRDefault="008E7B03" w:rsidP="00B610B4">
            <w:pPr>
              <w:pStyle w:val="INDICATORTEXT"/>
              <w:numPr>
                <w:ilvl w:val="0"/>
                <w:numId w:val="52"/>
              </w:numPr>
              <w:jc w:val="both"/>
            </w:pPr>
            <w:r w:rsidRPr="008E3824">
              <w:t>wrote or followed up on joint letters with the service provider (possibly alongside other investors); and/or,</w:t>
            </w:r>
          </w:p>
          <w:p w14:paraId="2D0C75FD" w14:textId="77777777" w:rsidR="008E7B03" w:rsidRPr="008E3824" w:rsidRDefault="008E7B03" w:rsidP="00B610B4">
            <w:pPr>
              <w:pStyle w:val="INDICATORTEXT"/>
              <w:numPr>
                <w:ilvl w:val="0"/>
                <w:numId w:val="52"/>
              </w:numPr>
              <w:jc w:val="both"/>
            </w:pPr>
            <w:r w:rsidRPr="008E3824">
              <w:t>regularly joined group conference calls; and/or,</w:t>
            </w:r>
          </w:p>
          <w:p w14:paraId="2D0C75FE" w14:textId="77777777" w:rsidR="008E7B03" w:rsidRPr="008E3824" w:rsidRDefault="008E7B03" w:rsidP="00247554">
            <w:pPr>
              <w:pStyle w:val="INDICATORTEXT"/>
              <w:numPr>
                <w:ilvl w:val="0"/>
                <w:numId w:val="52"/>
              </w:numPr>
              <w:jc w:val="both"/>
            </w:pPr>
            <w:r w:rsidRPr="008E3824">
              <w:t>participated in some meetings with companies organised by the service provider.</w:t>
            </w:r>
          </w:p>
        </w:tc>
      </w:tr>
    </w:tbl>
    <w:p w14:paraId="2D0C7600" w14:textId="77777777" w:rsidR="00B610B4" w:rsidRPr="00D93C4C" w:rsidRDefault="00B610B4" w:rsidP="00B610B4"/>
    <w:p w14:paraId="2D0C7601" w14:textId="77777777" w:rsidR="003F0E6F" w:rsidRPr="009C1D27" w:rsidRDefault="003F0E6F" w:rsidP="004219D5"/>
    <w:sectPr w:rsidR="003F0E6F" w:rsidRPr="009C1D27" w:rsidSect="004140B5">
      <w:headerReference w:type="even" r:id="rId17"/>
      <w:headerReference w:type="default" r:id="rId18"/>
      <w:footerReference w:type="even" r:id="rId19"/>
      <w:footerReference w:type="default" r:id="rId20"/>
      <w:headerReference w:type="first" r:id="rId21"/>
      <w:footerReference w:type="first" r:id="rId22"/>
      <w:pgSz w:w="11900" w:h="16840"/>
      <w:pgMar w:top="1440" w:right="1616" w:bottom="1440" w:left="161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7616F0" w14:textId="77777777" w:rsidR="00F37AF0" w:rsidRDefault="00F37AF0" w:rsidP="00936049">
      <w:r>
        <w:separator/>
      </w:r>
    </w:p>
  </w:endnote>
  <w:endnote w:type="continuationSeparator" w:id="0">
    <w:p w14:paraId="3C210D14" w14:textId="77777777" w:rsidR="00F37AF0" w:rsidRDefault="00F37AF0" w:rsidP="00936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Alright Sans Regular">
    <w:altName w:val="Arial"/>
    <w:panose1 w:val="00000000000000000000"/>
    <w:charset w:val="00"/>
    <w:family w:val="modern"/>
    <w:notTrueType/>
    <w:pitch w:val="variable"/>
    <w:sig w:usb0="0000008F" w:usb1="00000001" w:usb2="00000000" w:usb3="00000000" w:csb0="0000000B" w:csb1="00000000"/>
  </w:font>
  <w:font w:name="Calibri">
    <w:panose1 w:val="020F0502020204030204"/>
    <w:charset w:val="00"/>
    <w:family w:val="swiss"/>
    <w:pitch w:val="variable"/>
    <w:sig w:usb0="E00002FF" w:usb1="4000ACFF" w:usb2="00000001" w:usb3="00000000" w:csb0="0000019F" w:csb1="00000000"/>
  </w:font>
  <w:font w:name="Alright Sans Regular Italic">
    <w:altName w:val="Arial"/>
    <w:panose1 w:val="00000000000000000000"/>
    <w:charset w:val="00"/>
    <w:family w:val="modern"/>
    <w:notTrueType/>
    <w:pitch w:val="variable"/>
    <w:sig w:usb0="0000008F" w:usb1="00000001" w:usb2="00000000" w:usb3="00000000" w:csb0="0000000B" w:csb1="00000000"/>
  </w:font>
  <w:font w:name="Times">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lright Sans Light">
    <w:altName w:val="Arial"/>
    <w:panose1 w:val="00000000000000000000"/>
    <w:charset w:val="00"/>
    <w:family w:val="modern"/>
    <w:notTrueType/>
    <w:pitch w:val="variable"/>
    <w:sig w:usb0="0000008F" w:usb1="00000001" w:usb2="00000000" w:usb3="00000000" w:csb0="0000000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B9FD22" w14:textId="77777777" w:rsidR="004140B5" w:rsidRDefault="004140B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0C7606" w14:textId="77777777" w:rsidR="00AC6560" w:rsidRPr="0098553C" w:rsidRDefault="00AC6560" w:rsidP="00F35021">
    <w:pPr>
      <w:pStyle w:val="Footer"/>
      <w:framePr w:w="11854" w:wrap="around" w:vAnchor="text" w:hAnchor="page" w:x="59" w:y="501"/>
      <w:jc w:val="center"/>
      <w:rPr>
        <w:rStyle w:val="PageNumber"/>
        <w:rFonts w:ascii="Alright Sans Light" w:hAnsi="Alright Sans Light"/>
        <w:color w:val="808080"/>
      </w:rPr>
    </w:pPr>
    <w:r w:rsidRPr="0098553C">
      <w:rPr>
        <w:rStyle w:val="PageNumber"/>
        <w:rFonts w:ascii="Alright Sans Light" w:hAnsi="Alright Sans Light"/>
        <w:color w:val="808080"/>
      </w:rPr>
      <w:fldChar w:fldCharType="begin"/>
    </w:r>
    <w:r w:rsidRPr="0098553C">
      <w:rPr>
        <w:rStyle w:val="PageNumber"/>
        <w:rFonts w:ascii="Alright Sans Light" w:hAnsi="Alright Sans Light"/>
        <w:color w:val="808080"/>
      </w:rPr>
      <w:instrText xml:space="preserve">PAGE  </w:instrText>
    </w:r>
    <w:r w:rsidRPr="0098553C">
      <w:rPr>
        <w:rStyle w:val="PageNumber"/>
        <w:rFonts w:ascii="Alright Sans Light" w:hAnsi="Alright Sans Light"/>
        <w:color w:val="808080"/>
      </w:rPr>
      <w:fldChar w:fldCharType="separate"/>
    </w:r>
    <w:r w:rsidR="006D6EDF">
      <w:rPr>
        <w:rStyle w:val="PageNumber"/>
        <w:rFonts w:ascii="Alright Sans Light" w:hAnsi="Alright Sans Light"/>
        <w:noProof/>
        <w:color w:val="808080"/>
      </w:rPr>
      <w:t>10</w:t>
    </w:r>
    <w:r w:rsidRPr="0098553C">
      <w:rPr>
        <w:rStyle w:val="PageNumber"/>
        <w:rFonts w:ascii="Alright Sans Light" w:hAnsi="Alright Sans Light"/>
        <w:color w:val="808080"/>
      </w:rPr>
      <w:fldChar w:fldCharType="end"/>
    </w:r>
  </w:p>
  <w:p w14:paraId="2D0C7607" w14:textId="77777777" w:rsidR="00AC6560" w:rsidRDefault="00AC6560">
    <w:pPr>
      <w:pStyle w:val="Footer"/>
    </w:pPr>
    <w:r>
      <w:rPr>
        <w:noProof/>
        <w:lang w:eastAsia="en-GB"/>
      </w:rPr>
      <w:drawing>
        <wp:anchor distT="0" distB="0" distL="114300" distR="114300" simplePos="0" relativeHeight="251656704" behindDoc="1" locked="0" layoutInCell="1" allowOverlap="1" wp14:anchorId="2D0C760A" wp14:editId="2D0C760B">
          <wp:simplePos x="0" y="0"/>
          <wp:positionH relativeFrom="page">
            <wp:posOffset>0</wp:posOffset>
          </wp:positionH>
          <wp:positionV relativeFrom="bottomMargin">
            <wp:posOffset>-259496</wp:posOffset>
          </wp:positionV>
          <wp:extent cx="7560310" cy="1173677"/>
          <wp:effectExtent l="0" t="0" r="8890" b="0"/>
          <wp:wrapNone/>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D:Users:Max:Desktop:PRI:12.02.23 PRI Letterhead:Archive:Resource:Images:Word:PRI_Letterhead_subPageFooter.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310" cy="1173677"/>
                  </a:xfrm>
                  <a:prstGeom prst="rect">
                    <a:avLst/>
                  </a:prstGeom>
                  <a:noFill/>
                  <a:ln>
                    <a:noFill/>
                  </a:ln>
                </pic:spPr>
              </pic:pic>
            </a:graphicData>
          </a:graphic>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0C7609" w14:textId="77777777" w:rsidR="00AC6560" w:rsidRDefault="00AC6560" w:rsidP="00DF453C">
    <w:pPr>
      <w:pStyle w:val="Footer"/>
      <w:tabs>
        <w:tab w:val="clear" w:pos="4320"/>
        <w:tab w:val="clear" w:pos="8640"/>
        <w:tab w:val="left" w:pos="5520"/>
      </w:tabs>
    </w:pPr>
    <w:r>
      <w:rPr>
        <w:noProof/>
        <w:lang w:eastAsia="en-GB"/>
      </w:rPr>
      <w:drawing>
        <wp:anchor distT="0" distB="0" distL="114300" distR="114300" simplePos="0" relativeHeight="251658752" behindDoc="1" locked="0" layoutInCell="1" allowOverlap="1" wp14:anchorId="2D0C760E" wp14:editId="4102CCA0">
          <wp:simplePos x="0" y="0"/>
          <wp:positionH relativeFrom="page">
            <wp:posOffset>0</wp:posOffset>
          </wp:positionH>
          <wp:positionV relativeFrom="bottomMargin">
            <wp:posOffset>32910</wp:posOffset>
          </wp:positionV>
          <wp:extent cx="7560304" cy="876446"/>
          <wp:effectExtent l="0" t="0" r="3175" b="0"/>
          <wp:wrapNone/>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304" cy="876446"/>
                  </a:xfrm>
                  <a:prstGeom prst="rect">
                    <a:avLst/>
                  </a:prstGeom>
                  <a:noFill/>
                  <a:ln>
                    <a:noFill/>
                  </a:ln>
                </pic:spPr>
              </pic:pic>
            </a:graphicData>
          </a:graphic>
        </wp:anchor>
      </w:drawing>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778897" w14:textId="77777777" w:rsidR="00F37AF0" w:rsidRDefault="00F37AF0" w:rsidP="00936049">
      <w:r>
        <w:separator/>
      </w:r>
    </w:p>
  </w:footnote>
  <w:footnote w:type="continuationSeparator" w:id="0">
    <w:p w14:paraId="23F956EF" w14:textId="77777777" w:rsidR="00F37AF0" w:rsidRDefault="00F37AF0" w:rsidP="009360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2D3C01" w14:textId="77777777" w:rsidR="004140B5" w:rsidRDefault="004140B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863711" w14:textId="77777777" w:rsidR="004140B5" w:rsidRDefault="004140B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0C7608" w14:textId="77777777" w:rsidR="00AC6560" w:rsidRDefault="00AC6560">
    <w:pPr>
      <w:pStyle w:val="Header"/>
    </w:pPr>
    <w:r>
      <w:rPr>
        <w:noProof/>
        <w:lang w:eastAsia="en-GB"/>
      </w:rPr>
      <w:drawing>
        <wp:anchor distT="0" distB="0" distL="114300" distR="114300" simplePos="0" relativeHeight="251657728" behindDoc="1" locked="0" layoutInCell="1" allowOverlap="1" wp14:anchorId="2D0C760C" wp14:editId="2D0C760D">
          <wp:simplePos x="0" y="0"/>
          <wp:positionH relativeFrom="page">
            <wp:posOffset>9432</wp:posOffset>
          </wp:positionH>
          <wp:positionV relativeFrom="page">
            <wp:posOffset>0</wp:posOffset>
          </wp:positionV>
          <wp:extent cx="7541446" cy="1360805"/>
          <wp:effectExtent l="0" t="0" r="2540" b="10795"/>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1446" cy="136080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4881E84"/>
    <w:lvl w:ilvl="0">
      <w:start w:val="1"/>
      <w:numFmt w:val="decimal"/>
      <w:pStyle w:val="ListNumber5"/>
      <w:lvlText w:val="%1."/>
      <w:lvlJc w:val="left"/>
      <w:pPr>
        <w:tabs>
          <w:tab w:val="num" w:pos="340"/>
        </w:tabs>
        <w:ind w:left="340" w:hanging="340"/>
      </w:pPr>
      <w:rPr>
        <w:rFonts w:hint="default"/>
      </w:rPr>
    </w:lvl>
  </w:abstractNum>
  <w:abstractNum w:abstractNumId="1">
    <w:nsid w:val="FFFFFF7D"/>
    <w:multiLevelType w:val="singleLevel"/>
    <w:tmpl w:val="061A906C"/>
    <w:lvl w:ilvl="0">
      <w:start w:val="1"/>
      <w:numFmt w:val="decimal"/>
      <w:pStyle w:val="ListNumber4"/>
      <w:lvlText w:val="%1."/>
      <w:lvlJc w:val="left"/>
      <w:pPr>
        <w:tabs>
          <w:tab w:val="num" w:pos="340"/>
        </w:tabs>
        <w:ind w:left="340" w:hanging="340"/>
      </w:pPr>
      <w:rPr>
        <w:rFonts w:hint="default"/>
      </w:rPr>
    </w:lvl>
  </w:abstractNum>
  <w:abstractNum w:abstractNumId="2">
    <w:nsid w:val="FFFFFF7E"/>
    <w:multiLevelType w:val="singleLevel"/>
    <w:tmpl w:val="3DD6848A"/>
    <w:lvl w:ilvl="0">
      <w:start w:val="1"/>
      <w:numFmt w:val="decimal"/>
      <w:pStyle w:val="ListNumber3"/>
      <w:lvlText w:val="%1."/>
      <w:lvlJc w:val="left"/>
      <w:pPr>
        <w:tabs>
          <w:tab w:val="num" w:pos="340"/>
        </w:tabs>
        <w:ind w:left="340" w:hanging="340"/>
      </w:pPr>
      <w:rPr>
        <w:rFonts w:hint="default"/>
      </w:rPr>
    </w:lvl>
  </w:abstractNum>
  <w:abstractNum w:abstractNumId="3">
    <w:nsid w:val="FFFFFF7F"/>
    <w:multiLevelType w:val="singleLevel"/>
    <w:tmpl w:val="61C8C650"/>
    <w:lvl w:ilvl="0">
      <w:start w:val="1"/>
      <w:numFmt w:val="decimal"/>
      <w:pStyle w:val="ListNumber2"/>
      <w:lvlText w:val="%1."/>
      <w:lvlJc w:val="left"/>
      <w:pPr>
        <w:tabs>
          <w:tab w:val="num" w:pos="340"/>
        </w:tabs>
        <w:ind w:left="340" w:hanging="340"/>
      </w:pPr>
      <w:rPr>
        <w:rFonts w:hint="default"/>
      </w:rPr>
    </w:lvl>
  </w:abstractNum>
  <w:abstractNum w:abstractNumId="4">
    <w:nsid w:val="FFFFFF88"/>
    <w:multiLevelType w:val="singleLevel"/>
    <w:tmpl w:val="4D564A24"/>
    <w:lvl w:ilvl="0">
      <w:start w:val="1"/>
      <w:numFmt w:val="decimal"/>
      <w:pStyle w:val="ListNumber"/>
      <w:lvlText w:val="%1."/>
      <w:lvlJc w:val="left"/>
      <w:pPr>
        <w:tabs>
          <w:tab w:val="num" w:pos="340"/>
        </w:tabs>
        <w:ind w:left="340" w:hanging="340"/>
      </w:pPr>
      <w:rPr>
        <w:rFonts w:hint="default"/>
      </w:rPr>
    </w:lvl>
  </w:abstractNum>
  <w:abstractNum w:abstractNumId="5">
    <w:nsid w:val="0303446E"/>
    <w:multiLevelType w:val="hybridMultilevel"/>
    <w:tmpl w:val="CFC07904"/>
    <w:lvl w:ilvl="0" w:tplc="04090001">
      <w:start w:val="1"/>
      <w:numFmt w:val="bullet"/>
      <w:lvlText w:val=""/>
      <w:lvlJc w:val="left"/>
      <w:pPr>
        <w:ind w:left="530" w:hanging="360"/>
      </w:pPr>
      <w:rPr>
        <w:rFonts w:ascii="Symbol" w:hAnsi="Symbol" w:hint="default"/>
      </w:rPr>
    </w:lvl>
    <w:lvl w:ilvl="1" w:tplc="04090003" w:tentative="1">
      <w:start w:val="1"/>
      <w:numFmt w:val="bullet"/>
      <w:lvlText w:val="o"/>
      <w:lvlJc w:val="left"/>
      <w:pPr>
        <w:ind w:left="1250" w:hanging="360"/>
      </w:pPr>
      <w:rPr>
        <w:rFonts w:ascii="Courier New" w:hAnsi="Courier New" w:hint="default"/>
      </w:rPr>
    </w:lvl>
    <w:lvl w:ilvl="2" w:tplc="04090005" w:tentative="1">
      <w:start w:val="1"/>
      <w:numFmt w:val="bullet"/>
      <w:lvlText w:val=""/>
      <w:lvlJc w:val="left"/>
      <w:pPr>
        <w:ind w:left="1970" w:hanging="360"/>
      </w:pPr>
      <w:rPr>
        <w:rFonts w:ascii="Wingdings" w:hAnsi="Wingdings" w:hint="default"/>
      </w:rPr>
    </w:lvl>
    <w:lvl w:ilvl="3" w:tplc="04090001" w:tentative="1">
      <w:start w:val="1"/>
      <w:numFmt w:val="bullet"/>
      <w:lvlText w:val=""/>
      <w:lvlJc w:val="left"/>
      <w:pPr>
        <w:ind w:left="2690" w:hanging="360"/>
      </w:pPr>
      <w:rPr>
        <w:rFonts w:ascii="Symbol" w:hAnsi="Symbol" w:hint="default"/>
      </w:rPr>
    </w:lvl>
    <w:lvl w:ilvl="4" w:tplc="04090003" w:tentative="1">
      <w:start w:val="1"/>
      <w:numFmt w:val="bullet"/>
      <w:lvlText w:val="o"/>
      <w:lvlJc w:val="left"/>
      <w:pPr>
        <w:ind w:left="3410" w:hanging="360"/>
      </w:pPr>
      <w:rPr>
        <w:rFonts w:ascii="Courier New" w:hAnsi="Courier New" w:hint="default"/>
      </w:rPr>
    </w:lvl>
    <w:lvl w:ilvl="5" w:tplc="04090005" w:tentative="1">
      <w:start w:val="1"/>
      <w:numFmt w:val="bullet"/>
      <w:lvlText w:val=""/>
      <w:lvlJc w:val="left"/>
      <w:pPr>
        <w:ind w:left="4130" w:hanging="360"/>
      </w:pPr>
      <w:rPr>
        <w:rFonts w:ascii="Wingdings" w:hAnsi="Wingdings" w:hint="default"/>
      </w:rPr>
    </w:lvl>
    <w:lvl w:ilvl="6" w:tplc="04090001" w:tentative="1">
      <w:start w:val="1"/>
      <w:numFmt w:val="bullet"/>
      <w:lvlText w:val=""/>
      <w:lvlJc w:val="left"/>
      <w:pPr>
        <w:ind w:left="4850" w:hanging="360"/>
      </w:pPr>
      <w:rPr>
        <w:rFonts w:ascii="Symbol" w:hAnsi="Symbol" w:hint="default"/>
      </w:rPr>
    </w:lvl>
    <w:lvl w:ilvl="7" w:tplc="04090003" w:tentative="1">
      <w:start w:val="1"/>
      <w:numFmt w:val="bullet"/>
      <w:lvlText w:val="o"/>
      <w:lvlJc w:val="left"/>
      <w:pPr>
        <w:ind w:left="5570" w:hanging="360"/>
      </w:pPr>
      <w:rPr>
        <w:rFonts w:ascii="Courier New" w:hAnsi="Courier New" w:hint="default"/>
      </w:rPr>
    </w:lvl>
    <w:lvl w:ilvl="8" w:tplc="04090005" w:tentative="1">
      <w:start w:val="1"/>
      <w:numFmt w:val="bullet"/>
      <w:lvlText w:val=""/>
      <w:lvlJc w:val="left"/>
      <w:pPr>
        <w:ind w:left="6290" w:hanging="360"/>
      </w:pPr>
      <w:rPr>
        <w:rFonts w:ascii="Wingdings" w:hAnsi="Wingdings" w:hint="default"/>
      </w:rPr>
    </w:lvl>
  </w:abstractNum>
  <w:abstractNum w:abstractNumId="6">
    <w:nsid w:val="05A07787"/>
    <w:multiLevelType w:val="hybridMultilevel"/>
    <w:tmpl w:val="9528B5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094F576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09C20FD5"/>
    <w:multiLevelType w:val="hybridMultilevel"/>
    <w:tmpl w:val="21B21A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0A5810FC"/>
    <w:multiLevelType w:val="multilevel"/>
    <w:tmpl w:val="62222CF2"/>
    <w:styleLink w:val="PRINumbering"/>
    <w:lvl w:ilvl="0">
      <w:start w:val="1"/>
      <w:numFmt w:val="decimal"/>
      <w:lvlText w:val="%1."/>
      <w:lvlJc w:val="left"/>
      <w:pPr>
        <w:tabs>
          <w:tab w:val="num" w:pos="340"/>
        </w:tabs>
        <w:ind w:left="340" w:hanging="340"/>
      </w:pPr>
      <w:rPr>
        <w:rFonts w:hint="default"/>
      </w:rPr>
    </w:lvl>
    <w:lvl w:ilvl="1">
      <w:start w:val="2"/>
      <w:numFmt w:val="decimal"/>
      <w:lvlText w:val="%2."/>
      <w:lvlJc w:val="left"/>
      <w:pPr>
        <w:tabs>
          <w:tab w:val="num" w:pos="340"/>
        </w:tabs>
        <w:ind w:left="340" w:hanging="340"/>
      </w:pPr>
      <w:rPr>
        <w:rFonts w:ascii="Arial" w:hAnsi="Arial" w:hint="default"/>
      </w:rPr>
    </w:lvl>
    <w:lvl w:ilvl="2">
      <w:start w:val="1"/>
      <w:numFmt w:val="none"/>
      <w:lvlText w:val="3."/>
      <w:lvlJc w:val="left"/>
      <w:pPr>
        <w:tabs>
          <w:tab w:val="num" w:pos="340"/>
        </w:tabs>
        <w:ind w:left="340" w:hanging="340"/>
      </w:pPr>
      <w:rPr>
        <w:rFonts w:hint="default"/>
      </w:rPr>
    </w:lvl>
    <w:lvl w:ilvl="3">
      <w:start w:val="1"/>
      <w:numFmt w:val="none"/>
      <w:lvlText w:val="4."/>
      <w:lvlJc w:val="left"/>
      <w:pPr>
        <w:tabs>
          <w:tab w:val="num" w:pos="340"/>
        </w:tabs>
        <w:ind w:left="340" w:hanging="340"/>
      </w:pPr>
      <w:rPr>
        <w:rFonts w:hint="default"/>
      </w:rPr>
    </w:lvl>
    <w:lvl w:ilvl="4">
      <w:start w:val="1"/>
      <w:numFmt w:val="none"/>
      <w:lvlText w:val="5."/>
      <w:lvlJc w:val="left"/>
      <w:pPr>
        <w:tabs>
          <w:tab w:val="num" w:pos="340"/>
        </w:tabs>
        <w:ind w:left="340" w:hanging="340"/>
      </w:pPr>
      <w:rPr>
        <w:rFonts w:hint="default"/>
      </w:rPr>
    </w:lvl>
    <w:lvl w:ilvl="5">
      <w:start w:val="1"/>
      <w:numFmt w:val="none"/>
      <w:lvlText w:val="6."/>
      <w:lvlJc w:val="left"/>
      <w:pPr>
        <w:tabs>
          <w:tab w:val="num" w:pos="340"/>
        </w:tabs>
        <w:ind w:left="340" w:hanging="340"/>
      </w:pPr>
      <w:rPr>
        <w:rFonts w:hint="default"/>
      </w:rPr>
    </w:lvl>
    <w:lvl w:ilvl="6">
      <w:start w:val="1"/>
      <w:numFmt w:val="none"/>
      <w:lvlText w:val="7."/>
      <w:lvlJc w:val="left"/>
      <w:pPr>
        <w:tabs>
          <w:tab w:val="num" w:pos="340"/>
        </w:tabs>
        <w:ind w:left="340" w:hanging="340"/>
      </w:pPr>
      <w:rPr>
        <w:rFonts w:hint="default"/>
      </w:rPr>
    </w:lvl>
    <w:lvl w:ilvl="7">
      <w:start w:val="1"/>
      <w:numFmt w:val="none"/>
      <w:lvlText w:val="8."/>
      <w:lvlJc w:val="left"/>
      <w:pPr>
        <w:tabs>
          <w:tab w:val="num" w:pos="340"/>
        </w:tabs>
        <w:ind w:left="340" w:hanging="340"/>
      </w:pPr>
      <w:rPr>
        <w:rFonts w:hint="default"/>
      </w:rPr>
    </w:lvl>
    <w:lvl w:ilvl="8">
      <w:start w:val="1"/>
      <w:numFmt w:val="none"/>
      <w:lvlText w:val="9."/>
      <w:lvlJc w:val="left"/>
      <w:pPr>
        <w:tabs>
          <w:tab w:val="num" w:pos="340"/>
        </w:tabs>
        <w:ind w:left="340" w:hanging="340"/>
      </w:pPr>
      <w:rPr>
        <w:rFonts w:hint="default"/>
      </w:rPr>
    </w:lvl>
  </w:abstractNum>
  <w:abstractNum w:abstractNumId="10">
    <w:nsid w:val="0C58496B"/>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nsid w:val="0EB0195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1727C1D"/>
    <w:multiLevelType w:val="multilevel"/>
    <w:tmpl w:val="FB50CD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12C41809"/>
    <w:multiLevelType w:val="multilevel"/>
    <w:tmpl w:val="62222CF2"/>
    <w:numStyleLink w:val="PRINumbering"/>
  </w:abstractNum>
  <w:abstractNum w:abstractNumId="14">
    <w:nsid w:val="136D7D64"/>
    <w:multiLevelType w:val="hybridMultilevel"/>
    <w:tmpl w:val="967E03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151F0643"/>
    <w:multiLevelType w:val="multilevel"/>
    <w:tmpl w:val="62222CF2"/>
    <w:numStyleLink w:val="PRINumbering"/>
  </w:abstractNum>
  <w:abstractNum w:abstractNumId="16">
    <w:nsid w:val="19B972B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1A0C7625"/>
    <w:multiLevelType w:val="hybridMultilevel"/>
    <w:tmpl w:val="97643C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1A211EA6"/>
    <w:multiLevelType w:val="hybridMultilevel"/>
    <w:tmpl w:val="ED74FF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251D0CEA"/>
    <w:multiLevelType w:val="multilevel"/>
    <w:tmpl w:val="9A0E9642"/>
    <w:lvl w:ilvl="0">
      <w:start w:val="1"/>
      <w:numFmt w:val="bullet"/>
      <w:pStyle w:val="ListParagraph"/>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20">
    <w:nsid w:val="2525408B"/>
    <w:multiLevelType w:val="hybridMultilevel"/>
    <w:tmpl w:val="B25E6018"/>
    <w:lvl w:ilvl="0" w:tplc="DF02D62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275F1827"/>
    <w:multiLevelType w:val="hybridMultilevel"/>
    <w:tmpl w:val="2A0A1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2B9B1F8C"/>
    <w:multiLevelType w:val="hybridMultilevel"/>
    <w:tmpl w:val="36BEA04E"/>
    <w:lvl w:ilvl="0" w:tplc="40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2F285A08"/>
    <w:multiLevelType w:val="multilevel"/>
    <w:tmpl w:val="0BE223E2"/>
    <w:lvl w:ilvl="0">
      <w:start w:val="1"/>
      <w:numFmt w:val="decimal"/>
      <w:lvlText w:val="%1."/>
      <w:lvlJc w:val="left"/>
      <w:pPr>
        <w:ind w:left="360" w:hanging="360"/>
      </w:pPr>
      <w:rPr>
        <w:rFonts w:ascii="Arial" w:hAnsi="Aria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nsid w:val="3590215C"/>
    <w:multiLevelType w:val="hybridMultilevel"/>
    <w:tmpl w:val="E876B9C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94"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384321F9"/>
    <w:multiLevelType w:val="hybridMultilevel"/>
    <w:tmpl w:val="0BE223E2"/>
    <w:lvl w:ilvl="0" w:tplc="849E3F4A">
      <w:start w:val="1"/>
      <w:numFmt w:val="decimal"/>
      <w:lvlText w:val="%1."/>
      <w:lvlJc w:val="left"/>
      <w:pPr>
        <w:ind w:left="360" w:hanging="360"/>
      </w:pPr>
      <w:rPr>
        <w:rFonts w:ascii="Arial" w:hAnsi="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388D3441"/>
    <w:multiLevelType w:val="multilevel"/>
    <w:tmpl w:val="62222CF2"/>
    <w:numStyleLink w:val="PRINumbering"/>
  </w:abstractNum>
  <w:abstractNum w:abstractNumId="27">
    <w:nsid w:val="38B839D0"/>
    <w:multiLevelType w:val="multilevel"/>
    <w:tmpl w:val="62222CF2"/>
    <w:numStyleLink w:val="PRINumbering"/>
  </w:abstractNum>
  <w:abstractNum w:abstractNumId="28">
    <w:nsid w:val="3ACE337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414E1D10"/>
    <w:multiLevelType w:val="hybridMultilevel"/>
    <w:tmpl w:val="53D81E9A"/>
    <w:lvl w:ilvl="0" w:tplc="203E64E6">
      <w:start w:val="1"/>
      <w:numFmt w:val="bullet"/>
      <w:lvlText w:val="-"/>
      <w:lvlJc w:val="left"/>
      <w:pPr>
        <w:ind w:left="720" w:hanging="360"/>
      </w:pPr>
      <w:rPr>
        <w:rFonts w:ascii="Arial" w:eastAsia="MS PGothic"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42685F2F"/>
    <w:multiLevelType w:val="multilevel"/>
    <w:tmpl w:val="62222CF2"/>
    <w:lvl w:ilvl="0">
      <w:start w:val="1"/>
      <w:numFmt w:val="decimal"/>
      <w:lvlText w:val="%1."/>
      <w:lvlJc w:val="left"/>
      <w:pPr>
        <w:tabs>
          <w:tab w:val="num" w:pos="340"/>
        </w:tabs>
        <w:ind w:left="340" w:hanging="340"/>
      </w:pPr>
      <w:rPr>
        <w:rFonts w:hint="default"/>
      </w:rPr>
    </w:lvl>
    <w:lvl w:ilvl="1">
      <w:start w:val="2"/>
      <w:numFmt w:val="decimal"/>
      <w:lvlText w:val="%2."/>
      <w:lvlJc w:val="left"/>
      <w:pPr>
        <w:tabs>
          <w:tab w:val="num" w:pos="340"/>
        </w:tabs>
        <w:ind w:left="340" w:hanging="340"/>
      </w:pPr>
      <w:rPr>
        <w:rFonts w:ascii="Arial" w:hAnsi="Arial" w:hint="default"/>
      </w:rPr>
    </w:lvl>
    <w:lvl w:ilvl="2">
      <w:start w:val="1"/>
      <w:numFmt w:val="none"/>
      <w:lvlText w:val="3."/>
      <w:lvlJc w:val="left"/>
      <w:pPr>
        <w:tabs>
          <w:tab w:val="num" w:pos="340"/>
        </w:tabs>
        <w:ind w:left="340" w:hanging="340"/>
      </w:pPr>
      <w:rPr>
        <w:rFonts w:hint="default"/>
      </w:rPr>
    </w:lvl>
    <w:lvl w:ilvl="3">
      <w:start w:val="1"/>
      <w:numFmt w:val="none"/>
      <w:lvlText w:val="4."/>
      <w:lvlJc w:val="left"/>
      <w:pPr>
        <w:tabs>
          <w:tab w:val="num" w:pos="340"/>
        </w:tabs>
        <w:ind w:left="340" w:hanging="340"/>
      </w:pPr>
      <w:rPr>
        <w:rFonts w:hint="default"/>
      </w:rPr>
    </w:lvl>
    <w:lvl w:ilvl="4">
      <w:start w:val="1"/>
      <w:numFmt w:val="none"/>
      <w:lvlText w:val="5."/>
      <w:lvlJc w:val="left"/>
      <w:pPr>
        <w:tabs>
          <w:tab w:val="num" w:pos="340"/>
        </w:tabs>
        <w:ind w:left="340" w:hanging="340"/>
      </w:pPr>
      <w:rPr>
        <w:rFonts w:hint="default"/>
      </w:rPr>
    </w:lvl>
    <w:lvl w:ilvl="5">
      <w:start w:val="1"/>
      <w:numFmt w:val="none"/>
      <w:lvlText w:val="6."/>
      <w:lvlJc w:val="left"/>
      <w:pPr>
        <w:tabs>
          <w:tab w:val="num" w:pos="340"/>
        </w:tabs>
        <w:ind w:left="340" w:hanging="340"/>
      </w:pPr>
      <w:rPr>
        <w:rFonts w:hint="default"/>
      </w:rPr>
    </w:lvl>
    <w:lvl w:ilvl="6">
      <w:start w:val="1"/>
      <w:numFmt w:val="none"/>
      <w:lvlText w:val="7."/>
      <w:lvlJc w:val="left"/>
      <w:pPr>
        <w:tabs>
          <w:tab w:val="num" w:pos="340"/>
        </w:tabs>
        <w:ind w:left="340" w:hanging="340"/>
      </w:pPr>
      <w:rPr>
        <w:rFonts w:hint="default"/>
      </w:rPr>
    </w:lvl>
    <w:lvl w:ilvl="7">
      <w:start w:val="1"/>
      <w:numFmt w:val="none"/>
      <w:lvlText w:val="8."/>
      <w:lvlJc w:val="left"/>
      <w:pPr>
        <w:tabs>
          <w:tab w:val="num" w:pos="340"/>
        </w:tabs>
        <w:ind w:left="340" w:hanging="340"/>
      </w:pPr>
      <w:rPr>
        <w:rFonts w:hint="default"/>
      </w:rPr>
    </w:lvl>
    <w:lvl w:ilvl="8">
      <w:start w:val="1"/>
      <w:numFmt w:val="none"/>
      <w:lvlText w:val="9."/>
      <w:lvlJc w:val="left"/>
      <w:pPr>
        <w:tabs>
          <w:tab w:val="num" w:pos="340"/>
        </w:tabs>
        <w:ind w:left="340" w:hanging="340"/>
      </w:pPr>
      <w:rPr>
        <w:rFonts w:hint="default"/>
      </w:rPr>
    </w:lvl>
  </w:abstractNum>
  <w:abstractNum w:abstractNumId="31">
    <w:nsid w:val="48F47EB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A1D0F13"/>
    <w:multiLevelType w:val="hybridMultilevel"/>
    <w:tmpl w:val="E8B86A0E"/>
    <w:lvl w:ilvl="0" w:tplc="DF02D624">
      <w:start w:val="1"/>
      <w:numFmt w:val="bullet"/>
      <w:lvlText w:val=""/>
      <w:lvlJc w:val="left"/>
      <w:pPr>
        <w:ind w:left="720" w:hanging="360"/>
      </w:pPr>
      <w:rPr>
        <w:rFonts w:ascii="Symbol" w:hAnsi="Symbol"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4A29592E"/>
    <w:multiLevelType w:val="multilevel"/>
    <w:tmpl w:val="62222CF2"/>
    <w:numStyleLink w:val="PRINumbering"/>
  </w:abstractNum>
  <w:abstractNum w:abstractNumId="34">
    <w:nsid w:val="4A2D6A4C"/>
    <w:multiLevelType w:val="multilevel"/>
    <w:tmpl w:val="62222CF2"/>
    <w:numStyleLink w:val="PRINumbering"/>
  </w:abstractNum>
  <w:abstractNum w:abstractNumId="35">
    <w:nsid w:val="4A487EF6"/>
    <w:multiLevelType w:val="multilevel"/>
    <w:tmpl w:val="62222CF2"/>
    <w:numStyleLink w:val="PRINumbering"/>
  </w:abstractNum>
  <w:abstractNum w:abstractNumId="36">
    <w:nsid w:val="4B542892"/>
    <w:multiLevelType w:val="hybridMultilevel"/>
    <w:tmpl w:val="6B9A64FE"/>
    <w:lvl w:ilvl="0" w:tplc="04090001">
      <w:start w:val="1"/>
      <w:numFmt w:val="bullet"/>
      <w:lvlText w:val=""/>
      <w:lvlJc w:val="left"/>
      <w:pPr>
        <w:ind w:left="530" w:hanging="360"/>
      </w:pPr>
      <w:rPr>
        <w:rFonts w:ascii="Symbol" w:hAnsi="Symbol" w:hint="default"/>
      </w:rPr>
    </w:lvl>
    <w:lvl w:ilvl="1" w:tplc="04090003" w:tentative="1">
      <w:start w:val="1"/>
      <w:numFmt w:val="bullet"/>
      <w:lvlText w:val="o"/>
      <w:lvlJc w:val="left"/>
      <w:pPr>
        <w:ind w:left="1250" w:hanging="360"/>
      </w:pPr>
      <w:rPr>
        <w:rFonts w:ascii="Courier New" w:hAnsi="Courier New" w:hint="default"/>
      </w:rPr>
    </w:lvl>
    <w:lvl w:ilvl="2" w:tplc="04090005" w:tentative="1">
      <w:start w:val="1"/>
      <w:numFmt w:val="bullet"/>
      <w:lvlText w:val=""/>
      <w:lvlJc w:val="left"/>
      <w:pPr>
        <w:ind w:left="1970" w:hanging="360"/>
      </w:pPr>
      <w:rPr>
        <w:rFonts w:ascii="Wingdings" w:hAnsi="Wingdings" w:hint="default"/>
      </w:rPr>
    </w:lvl>
    <w:lvl w:ilvl="3" w:tplc="04090001" w:tentative="1">
      <w:start w:val="1"/>
      <w:numFmt w:val="bullet"/>
      <w:lvlText w:val=""/>
      <w:lvlJc w:val="left"/>
      <w:pPr>
        <w:ind w:left="2690" w:hanging="360"/>
      </w:pPr>
      <w:rPr>
        <w:rFonts w:ascii="Symbol" w:hAnsi="Symbol" w:hint="default"/>
      </w:rPr>
    </w:lvl>
    <w:lvl w:ilvl="4" w:tplc="04090003" w:tentative="1">
      <w:start w:val="1"/>
      <w:numFmt w:val="bullet"/>
      <w:lvlText w:val="o"/>
      <w:lvlJc w:val="left"/>
      <w:pPr>
        <w:ind w:left="3410" w:hanging="360"/>
      </w:pPr>
      <w:rPr>
        <w:rFonts w:ascii="Courier New" w:hAnsi="Courier New" w:hint="default"/>
      </w:rPr>
    </w:lvl>
    <w:lvl w:ilvl="5" w:tplc="04090005" w:tentative="1">
      <w:start w:val="1"/>
      <w:numFmt w:val="bullet"/>
      <w:lvlText w:val=""/>
      <w:lvlJc w:val="left"/>
      <w:pPr>
        <w:ind w:left="4130" w:hanging="360"/>
      </w:pPr>
      <w:rPr>
        <w:rFonts w:ascii="Wingdings" w:hAnsi="Wingdings" w:hint="default"/>
      </w:rPr>
    </w:lvl>
    <w:lvl w:ilvl="6" w:tplc="04090001" w:tentative="1">
      <w:start w:val="1"/>
      <w:numFmt w:val="bullet"/>
      <w:lvlText w:val=""/>
      <w:lvlJc w:val="left"/>
      <w:pPr>
        <w:ind w:left="4850" w:hanging="360"/>
      </w:pPr>
      <w:rPr>
        <w:rFonts w:ascii="Symbol" w:hAnsi="Symbol" w:hint="default"/>
      </w:rPr>
    </w:lvl>
    <w:lvl w:ilvl="7" w:tplc="04090003" w:tentative="1">
      <w:start w:val="1"/>
      <w:numFmt w:val="bullet"/>
      <w:lvlText w:val="o"/>
      <w:lvlJc w:val="left"/>
      <w:pPr>
        <w:ind w:left="5570" w:hanging="360"/>
      </w:pPr>
      <w:rPr>
        <w:rFonts w:ascii="Courier New" w:hAnsi="Courier New" w:hint="default"/>
      </w:rPr>
    </w:lvl>
    <w:lvl w:ilvl="8" w:tplc="04090005" w:tentative="1">
      <w:start w:val="1"/>
      <w:numFmt w:val="bullet"/>
      <w:lvlText w:val=""/>
      <w:lvlJc w:val="left"/>
      <w:pPr>
        <w:ind w:left="6290" w:hanging="360"/>
      </w:pPr>
      <w:rPr>
        <w:rFonts w:ascii="Wingdings" w:hAnsi="Wingdings" w:hint="default"/>
      </w:rPr>
    </w:lvl>
  </w:abstractNum>
  <w:abstractNum w:abstractNumId="37">
    <w:nsid w:val="4D5C1263"/>
    <w:multiLevelType w:val="hybridMultilevel"/>
    <w:tmpl w:val="C1987A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4E915ACF"/>
    <w:multiLevelType w:val="hybridMultilevel"/>
    <w:tmpl w:val="D708D1B0"/>
    <w:lvl w:ilvl="0" w:tplc="AC8035CA">
      <w:start w:val="1"/>
      <w:numFmt w:val="bullet"/>
      <w:lvlText w:val=""/>
      <w:lvlJc w:val="left"/>
      <w:pPr>
        <w:ind w:left="720" w:hanging="360"/>
      </w:pPr>
      <w:rPr>
        <w:rFonts w:ascii="Symbol" w:eastAsiaTheme="minorEastAsia" w:hAnsi="Symbol" w:cs="Aria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9">
    <w:nsid w:val="4FAE02A2"/>
    <w:multiLevelType w:val="multilevel"/>
    <w:tmpl w:val="62222CF2"/>
    <w:lvl w:ilvl="0">
      <w:start w:val="1"/>
      <w:numFmt w:val="decimal"/>
      <w:lvlText w:val="%1."/>
      <w:lvlJc w:val="left"/>
      <w:pPr>
        <w:tabs>
          <w:tab w:val="num" w:pos="340"/>
        </w:tabs>
        <w:ind w:left="340" w:hanging="340"/>
      </w:pPr>
      <w:rPr>
        <w:rFonts w:hint="default"/>
      </w:rPr>
    </w:lvl>
    <w:lvl w:ilvl="1">
      <w:start w:val="2"/>
      <w:numFmt w:val="decimal"/>
      <w:lvlText w:val="%2."/>
      <w:lvlJc w:val="left"/>
      <w:pPr>
        <w:tabs>
          <w:tab w:val="num" w:pos="340"/>
        </w:tabs>
        <w:ind w:left="340" w:hanging="340"/>
      </w:pPr>
      <w:rPr>
        <w:rFonts w:ascii="Arial" w:hAnsi="Arial" w:hint="default"/>
      </w:rPr>
    </w:lvl>
    <w:lvl w:ilvl="2">
      <w:start w:val="1"/>
      <w:numFmt w:val="none"/>
      <w:lvlText w:val="3."/>
      <w:lvlJc w:val="left"/>
      <w:pPr>
        <w:tabs>
          <w:tab w:val="num" w:pos="340"/>
        </w:tabs>
        <w:ind w:left="340" w:hanging="340"/>
      </w:pPr>
      <w:rPr>
        <w:rFonts w:hint="default"/>
      </w:rPr>
    </w:lvl>
    <w:lvl w:ilvl="3">
      <w:start w:val="1"/>
      <w:numFmt w:val="none"/>
      <w:lvlText w:val="4."/>
      <w:lvlJc w:val="left"/>
      <w:pPr>
        <w:tabs>
          <w:tab w:val="num" w:pos="340"/>
        </w:tabs>
        <w:ind w:left="340" w:hanging="340"/>
      </w:pPr>
      <w:rPr>
        <w:rFonts w:hint="default"/>
      </w:rPr>
    </w:lvl>
    <w:lvl w:ilvl="4">
      <w:start w:val="1"/>
      <w:numFmt w:val="none"/>
      <w:lvlText w:val="5."/>
      <w:lvlJc w:val="left"/>
      <w:pPr>
        <w:tabs>
          <w:tab w:val="num" w:pos="340"/>
        </w:tabs>
        <w:ind w:left="340" w:hanging="340"/>
      </w:pPr>
      <w:rPr>
        <w:rFonts w:hint="default"/>
      </w:rPr>
    </w:lvl>
    <w:lvl w:ilvl="5">
      <w:start w:val="1"/>
      <w:numFmt w:val="none"/>
      <w:lvlText w:val="6."/>
      <w:lvlJc w:val="left"/>
      <w:pPr>
        <w:tabs>
          <w:tab w:val="num" w:pos="340"/>
        </w:tabs>
        <w:ind w:left="340" w:hanging="340"/>
      </w:pPr>
      <w:rPr>
        <w:rFonts w:hint="default"/>
      </w:rPr>
    </w:lvl>
    <w:lvl w:ilvl="6">
      <w:start w:val="1"/>
      <w:numFmt w:val="none"/>
      <w:lvlText w:val="7."/>
      <w:lvlJc w:val="left"/>
      <w:pPr>
        <w:tabs>
          <w:tab w:val="num" w:pos="340"/>
        </w:tabs>
        <w:ind w:left="340" w:hanging="340"/>
      </w:pPr>
      <w:rPr>
        <w:rFonts w:hint="default"/>
      </w:rPr>
    </w:lvl>
    <w:lvl w:ilvl="7">
      <w:start w:val="1"/>
      <w:numFmt w:val="none"/>
      <w:lvlText w:val="8."/>
      <w:lvlJc w:val="left"/>
      <w:pPr>
        <w:tabs>
          <w:tab w:val="num" w:pos="340"/>
        </w:tabs>
        <w:ind w:left="340" w:hanging="340"/>
      </w:pPr>
      <w:rPr>
        <w:rFonts w:hint="default"/>
      </w:rPr>
    </w:lvl>
    <w:lvl w:ilvl="8">
      <w:start w:val="1"/>
      <w:numFmt w:val="none"/>
      <w:lvlText w:val="9."/>
      <w:lvlJc w:val="left"/>
      <w:pPr>
        <w:tabs>
          <w:tab w:val="num" w:pos="340"/>
        </w:tabs>
        <w:ind w:left="340" w:hanging="340"/>
      </w:pPr>
      <w:rPr>
        <w:rFonts w:hint="default"/>
      </w:rPr>
    </w:lvl>
  </w:abstractNum>
  <w:abstractNum w:abstractNumId="40">
    <w:nsid w:val="53CB4CF1"/>
    <w:multiLevelType w:val="multilevel"/>
    <w:tmpl w:val="62222CF2"/>
    <w:lvl w:ilvl="0">
      <w:start w:val="1"/>
      <w:numFmt w:val="decimal"/>
      <w:lvlText w:val="%1."/>
      <w:lvlJc w:val="left"/>
      <w:pPr>
        <w:tabs>
          <w:tab w:val="num" w:pos="340"/>
        </w:tabs>
        <w:ind w:left="340" w:hanging="340"/>
      </w:pPr>
      <w:rPr>
        <w:rFonts w:hint="default"/>
      </w:rPr>
    </w:lvl>
    <w:lvl w:ilvl="1">
      <w:start w:val="2"/>
      <w:numFmt w:val="decimal"/>
      <w:lvlText w:val="%2."/>
      <w:lvlJc w:val="left"/>
      <w:pPr>
        <w:tabs>
          <w:tab w:val="num" w:pos="340"/>
        </w:tabs>
        <w:ind w:left="340" w:hanging="340"/>
      </w:pPr>
      <w:rPr>
        <w:rFonts w:ascii="Arial" w:hAnsi="Arial" w:hint="default"/>
      </w:rPr>
    </w:lvl>
    <w:lvl w:ilvl="2">
      <w:start w:val="1"/>
      <w:numFmt w:val="none"/>
      <w:lvlText w:val="3."/>
      <w:lvlJc w:val="left"/>
      <w:pPr>
        <w:tabs>
          <w:tab w:val="num" w:pos="340"/>
        </w:tabs>
        <w:ind w:left="340" w:hanging="340"/>
      </w:pPr>
      <w:rPr>
        <w:rFonts w:hint="default"/>
      </w:rPr>
    </w:lvl>
    <w:lvl w:ilvl="3">
      <w:start w:val="1"/>
      <w:numFmt w:val="none"/>
      <w:lvlText w:val="4."/>
      <w:lvlJc w:val="left"/>
      <w:pPr>
        <w:tabs>
          <w:tab w:val="num" w:pos="340"/>
        </w:tabs>
        <w:ind w:left="340" w:hanging="340"/>
      </w:pPr>
      <w:rPr>
        <w:rFonts w:hint="default"/>
      </w:rPr>
    </w:lvl>
    <w:lvl w:ilvl="4">
      <w:start w:val="1"/>
      <w:numFmt w:val="none"/>
      <w:lvlText w:val="5."/>
      <w:lvlJc w:val="left"/>
      <w:pPr>
        <w:tabs>
          <w:tab w:val="num" w:pos="340"/>
        </w:tabs>
        <w:ind w:left="340" w:hanging="340"/>
      </w:pPr>
      <w:rPr>
        <w:rFonts w:hint="default"/>
      </w:rPr>
    </w:lvl>
    <w:lvl w:ilvl="5">
      <w:start w:val="1"/>
      <w:numFmt w:val="none"/>
      <w:lvlText w:val="6."/>
      <w:lvlJc w:val="left"/>
      <w:pPr>
        <w:tabs>
          <w:tab w:val="num" w:pos="340"/>
        </w:tabs>
        <w:ind w:left="340" w:hanging="340"/>
      </w:pPr>
      <w:rPr>
        <w:rFonts w:hint="default"/>
      </w:rPr>
    </w:lvl>
    <w:lvl w:ilvl="6">
      <w:start w:val="1"/>
      <w:numFmt w:val="none"/>
      <w:lvlText w:val="7."/>
      <w:lvlJc w:val="left"/>
      <w:pPr>
        <w:tabs>
          <w:tab w:val="num" w:pos="340"/>
        </w:tabs>
        <w:ind w:left="340" w:hanging="340"/>
      </w:pPr>
      <w:rPr>
        <w:rFonts w:hint="default"/>
      </w:rPr>
    </w:lvl>
    <w:lvl w:ilvl="7">
      <w:start w:val="1"/>
      <w:numFmt w:val="none"/>
      <w:lvlText w:val="8."/>
      <w:lvlJc w:val="left"/>
      <w:pPr>
        <w:tabs>
          <w:tab w:val="num" w:pos="340"/>
        </w:tabs>
        <w:ind w:left="340" w:hanging="340"/>
      </w:pPr>
      <w:rPr>
        <w:rFonts w:hint="default"/>
      </w:rPr>
    </w:lvl>
    <w:lvl w:ilvl="8">
      <w:start w:val="1"/>
      <w:numFmt w:val="none"/>
      <w:lvlText w:val="9."/>
      <w:lvlJc w:val="left"/>
      <w:pPr>
        <w:tabs>
          <w:tab w:val="num" w:pos="340"/>
        </w:tabs>
        <w:ind w:left="340" w:hanging="340"/>
      </w:pPr>
      <w:rPr>
        <w:rFonts w:hint="default"/>
      </w:rPr>
    </w:lvl>
  </w:abstractNum>
  <w:abstractNum w:abstractNumId="41">
    <w:nsid w:val="57AB0B24"/>
    <w:multiLevelType w:val="hybridMultilevel"/>
    <w:tmpl w:val="E3F842CC"/>
    <w:lvl w:ilvl="0" w:tplc="5C465394">
      <w:start w:val="1"/>
      <w:numFmt w:val="bullet"/>
      <w:lvlText w:val=""/>
      <w:lvlJc w:val="left"/>
      <w:pPr>
        <w:ind w:left="530" w:hanging="360"/>
      </w:pPr>
      <w:rPr>
        <w:rFonts w:ascii="Symbol" w:eastAsia="Times New Roman" w:hAnsi="Symbol" w:cs="Arial" w:hint="default"/>
      </w:rPr>
    </w:lvl>
    <w:lvl w:ilvl="1" w:tplc="40090003" w:tentative="1">
      <w:start w:val="1"/>
      <w:numFmt w:val="bullet"/>
      <w:lvlText w:val="o"/>
      <w:lvlJc w:val="left"/>
      <w:pPr>
        <w:ind w:left="1250" w:hanging="360"/>
      </w:pPr>
      <w:rPr>
        <w:rFonts w:ascii="Courier New" w:hAnsi="Courier New" w:cs="Courier New" w:hint="default"/>
      </w:rPr>
    </w:lvl>
    <w:lvl w:ilvl="2" w:tplc="40090005" w:tentative="1">
      <w:start w:val="1"/>
      <w:numFmt w:val="bullet"/>
      <w:lvlText w:val=""/>
      <w:lvlJc w:val="left"/>
      <w:pPr>
        <w:ind w:left="1970" w:hanging="360"/>
      </w:pPr>
      <w:rPr>
        <w:rFonts w:ascii="Wingdings" w:hAnsi="Wingdings" w:hint="default"/>
      </w:rPr>
    </w:lvl>
    <w:lvl w:ilvl="3" w:tplc="40090001" w:tentative="1">
      <w:start w:val="1"/>
      <w:numFmt w:val="bullet"/>
      <w:lvlText w:val=""/>
      <w:lvlJc w:val="left"/>
      <w:pPr>
        <w:ind w:left="2690" w:hanging="360"/>
      </w:pPr>
      <w:rPr>
        <w:rFonts w:ascii="Symbol" w:hAnsi="Symbol" w:hint="default"/>
      </w:rPr>
    </w:lvl>
    <w:lvl w:ilvl="4" w:tplc="40090003" w:tentative="1">
      <w:start w:val="1"/>
      <w:numFmt w:val="bullet"/>
      <w:lvlText w:val="o"/>
      <w:lvlJc w:val="left"/>
      <w:pPr>
        <w:ind w:left="3410" w:hanging="360"/>
      </w:pPr>
      <w:rPr>
        <w:rFonts w:ascii="Courier New" w:hAnsi="Courier New" w:cs="Courier New" w:hint="default"/>
      </w:rPr>
    </w:lvl>
    <w:lvl w:ilvl="5" w:tplc="40090005" w:tentative="1">
      <w:start w:val="1"/>
      <w:numFmt w:val="bullet"/>
      <w:lvlText w:val=""/>
      <w:lvlJc w:val="left"/>
      <w:pPr>
        <w:ind w:left="4130" w:hanging="360"/>
      </w:pPr>
      <w:rPr>
        <w:rFonts w:ascii="Wingdings" w:hAnsi="Wingdings" w:hint="default"/>
      </w:rPr>
    </w:lvl>
    <w:lvl w:ilvl="6" w:tplc="40090001" w:tentative="1">
      <w:start w:val="1"/>
      <w:numFmt w:val="bullet"/>
      <w:lvlText w:val=""/>
      <w:lvlJc w:val="left"/>
      <w:pPr>
        <w:ind w:left="4850" w:hanging="360"/>
      </w:pPr>
      <w:rPr>
        <w:rFonts w:ascii="Symbol" w:hAnsi="Symbol" w:hint="default"/>
      </w:rPr>
    </w:lvl>
    <w:lvl w:ilvl="7" w:tplc="40090003" w:tentative="1">
      <w:start w:val="1"/>
      <w:numFmt w:val="bullet"/>
      <w:lvlText w:val="o"/>
      <w:lvlJc w:val="left"/>
      <w:pPr>
        <w:ind w:left="5570" w:hanging="360"/>
      </w:pPr>
      <w:rPr>
        <w:rFonts w:ascii="Courier New" w:hAnsi="Courier New" w:cs="Courier New" w:hint="default"/>
      </w:rPr>
    </w:lvl>
    <w:lvl w:ilvl="8" w:tplc="40090005" w:tentative="1">
      <w:start w:val="1"/>
      <w:numFmt w:val="bullet"/>
      <w:lvlText w:val=""/>
      <w:lvlJc w:val="left"/>
      <w:pPr>
        <w:ind w:left="6290" w:hanging="360"/>
      </w:pPr>
      <w:rPr>
        <w:rFonts w:ascii="Wingdings" w:hAnsi="Wingdings" w:hint="default"/>
      </w:rPr>
    </w:lvl>
  </w:abstractNum>
  <w:abstractNum w:abstractNumId="42">
    <w:nsid w:val="58213145"/>
    <w:multiLevelType w:val="multilevel"/>
    <w:tmpl w:val="62222CF2"/>
    <w:lvl w:ilvl="0">
      <w:start w:val="1"/>
      <w:numFmt w:val="decimal"/>
      <w:lvlText w:val="%1."/>
      <w:lvlJc w:val="left"/>
      <w:pPr>
        <w:tabs>
          <w:tab w:val="num" w:pos="340"/>
        </w:tabs>
        <w:ind w:left="340" w:hanging="340"/>
      </w:pPr>
      <w:rPr>
        <w:rFonts w:hint="default"/>
      </w:rPr>
    </w:lvl>
    <w:lvl w:ilvl="1">
      <w:start w:val="2"/>
      <w:numFmt w:val="decimal"/>
      <w:lvlText w:val="%2."/>
      <w:lvlJc w:val="left"/>
      <w:pPr>
        <w:tabs>
          <w:tab w:val="num" w:pos="340"/>
        </w:tabs>
        <w:ind w:left="340" w:hanging="340"/>
      </w:pPr>
      <w:rPr>
        <w:rFonts w:ascii="Arial" w:hAnsi="Arial" w:hint="default"/>
      </w:rPr>
    </w:lvl>
    <w:lvl w:ilvl="2">
      <w:start w:val="1"/>
      <w:numFmt w:val="none"/>
      <w:lvlText w:val="3."/>
      <w:lvlJc w:val="left"/>
      <w:pPr>
        <w:tabs>
          <w:tab w:val="num" w:pos="340"/>
        </w:tabs>
        <w:ind w:left="340" w:hanging="340"/>
      </w:pPr>
      <w:rPr>
        <w:rFonts w:hint="default"/>
      </w:rPr>
    </w:lvl>
    <w:lvl w:ilvl="3">
      <w:start w:val="1"/>
      <w:numFmt w:val="none"/>
      <w:lvlText w:val="4."/>
      <w:lvlJc w:val="left"/>
      <w:pPr>
        <w:tabs>
          <w:tab w:val="num" w:pos="340"/>
        </w:tabs>
        <w:ind w:left="340" w:hanging="340"/>
      </w:pPr>
      <w:rPr>
        <w:rFonts w:hint="default"/>
      </w:rPr>
    </w:lvl>
    <w:lvl w:ilvl="4">
      <w:start w:val="1"/>
      <w:numFmt w:val="none"/>
      <w:lvlText w:val="5."/>
      <w:lvlJc w:val="left"/>
      <w:pPr>
        <w:tabs>
          <w:tab w:val="num" w:pos="340"/>
        </w:tabs>
        <w:ind w:left="340" w:hanging="340"/>
      </w:pPr>
      <w:rPr>
        <w:rFonts w:hint="default"/>
      </w:rPr>
    </w:lvl>
    <w:lvl w:ilvl="5">
      <w:start w:val="1"/>
      <w:numFmt w:val="none"/>
      <w:lvlText w:val="6."/>
      <w:lvlJc w:val="left"/>
      <w:pPr>
        <w:tabs>
          <w:tab w:val="num" w:pos="340"/>
        </w:tabs>
        <w:ind w:left="340" w:hanging="340"/>
      </w:pPr>
      <w:rPr>
        <w:rFonts w:hint="default"/>
      </w:rPr>
    </w:lvl>
    <w:lvl w:ilvl="6">
      <w:start w:val="1"/>
      <w:numFmt w:val="none"/>
      <w:lvlText w:val="7."/>
      <w:lvlJc w:val="left"/>
      <w:pPr>
        <w:tabs>
          <w:tab w:val="num" w:pos="340"/>
        </w:tabs>
        <w:ind w:left="340" w:hanging="340"/>
      </w:pPr>
      <w:rPr>
        <w:rFonts w:hint="default"/>
      </w:rPr>
    </w:lvl>
    <w:lvl w:ilvl="7">
      <w:start w:val="1"/>
      <w:numFmt w:val="none"/>
      <w:lvlText w:val="8."/>
      <w:lvlJc w:val="left"/>
      <w:pPr>
        <w:tabs>
          <w:tab w:val="num" w:pos="340"/>
        </w:tabs>
        <w:ind w:left="340" w:hanging="340"/>
      </w:pPr>
      <w:rPr>
        <w:rFonts w:hint="default"/>
      </w:rPr>
    </w:lvl>
    <w:lvl w:ilvl="8">
      <w:start w:val="1"/>
      <w:numFmt w:val="none"/>
      <w:lvlText w:val="9."/>
      <w:lvlJc w:val="left"/>
      <w:pPr>
        <w:tabs>
          <w:tab w:val="num" w:pos="340"/>
        </w:tabs>
        <w:ind w:left="340" w:hanging="340"/>
      </w:pPr>
      <w:rPr>
        <w:rFonts w:hint="default"/>
      </w:rPr>
    </w:lvl>
  </w:abstractNum>
  <w:abstractNum w:abstractNumId="43">
    <w:nsid w:val="58D413A1"/>
    <w:multiLevelType w:val="hybridMultilevel"/>
    <w:tmpl w:val="09928B28"/>
    <w:lvl w:ilvl="0" w:tplc="0A84AFA6">
      <w:start w:val="2013"/>
      <w:numFmt w:val="bullet"/>
      <w:lvlText w:val=""/>
      <w:lvlJc w:val="left"/>
      <w:pPr>
        <w:ind w:left="530" w:hanging="360"/>
      </w:pPr>
      <w:rPr>
        <w:rFonts w:ascii="Symbol" w:eastAsia="Times New Roman" w:hAnsi="Symbol" w:cs="Arial" w:hint="default"/>
      </w:rPr>
    </w:lvl>
    <w:lvl w:ilvl="1" w:tplc="40090003" w:tentative="1">
      <w:start w:val="1"/>
      <w:numFmt w:val="bullet"/>
      <w:lvlText w:val="o"/>
      <w:lvlJc w:val="left"/>
      <w:pPr>
        <w:ind w:left="1250" w:hanging="360"/>
      </w:pPr>
      <w:rPr>
        <w:rFonts w:ascii="Courier New" w:hAnsi="Courier New" w:cs="Courier New" w:hint="default"/>
      </w:rPr>
    </w:lvl>
    <w:lvl w:ilvl="2" w:tplc="40090005" w:tentative="1">
      <w:start w:val="1"/>
      <w:numFmt w:val="bullet"/>
      <w:lvlText w:val=""/>
      <w:lvlJc w:val="left"/>
      <w:pPr>
        <w:ind w:left="1970" w:hanging="360"/>
      </w:pPr>
      <w:rPr>
        <w:rFonts w:ascii="Wingdings" w:hAnsi="Wingdings" w:hint="default"/>
      </w:rPr>
    </w:lvl>
    <w:lvl w:ilvl="3" w:tplc="40090001" w:tentative="1">
      <w:start w:val="1"/>
      <w:numFmt w:val="bullet"/>
      <w:lvlText w:val=""/>
      <w:lvlJc w:val="left"/>
      <w:pPr>
        <w:ind w:left="2690" w:hanging="360"/>
      </w:pPr>
      <w:rPr>
        <w:rFonts w:ascii="Symbol" w:hAnsi="Symbol" w:hint="default"/>
      </w:rPr>
    </w:lvl>
    <w:lvl w:ilvl="4" w:tplc="40090003" w:tentative="1">
      <w:start w:val="1"/>
      <w:numFmt w:val="bullet"/>
      <w:lvlText w:val="o"/>
      <w:lvlJc w:val="left"/>
      <w:pPr>
        <w:ind w:left="3410" w:hanging="360"/>
      </w:pPr>
      <w:rPr>
        <w:rFonts w:ascii="Courier New" w:hAnsi="Courier New" w:cs="Courier New" w:hint="default"/>
      </w:rPr>
    </w:lvl>
    <w:lvl w:ilvl="5" w:tplc="40090005" w:tentative="1">
      <w:start w:val="1"/>
      <w:numFmt w:val="bullet"/>
      <w:lvlText w:val=""/>
      <w:lvlJc w:val="left"/>
      <w:pPr>
        <w:ind w:left="4130" w:hanging="360"/>
      </w:pPr>
      <w:rPr>
        <w:rFonts w:ascii="Wingdings" w:hAnsi="Wingdings" w:hint="default"/>
      </w:rPr>
    </w:lvl>
    <w:lvl w:ilvl="6" w:tplc="40090001" w:tentative="1">
      <w:start w:val="1"/>
      <w:numFmt w:val="bullet"/>
      <w:lvlText w:val=""/>
      <w:lvlJc w:val="left"/>
      <w:pPr>
        <w:ind w:left="4850" w:hanging="360"/>
      </w:pPr>
      <w:rPr>
        <w:rFonts w:ascii="Symbol" w:hAnsi="Symbol" w:hint="default"/>
      </w:rPr>
    </w:lvl>
    <w:lvl w:ilvl="7" w:tplc="40090003" w:tentative="1">
      <w:start w:val="1"/>
      <w:numFmt w:val="bullet"/>
      <w:lvlText w:val="o"/>
      <w:lvlJc w:val="left"/>
      <w:pPr>
        <w:ind w:left="5570" w:hanging="360"/>
      </w:pPr>
      <w:rPr>
        <w:rFonts w:ascii="Courier New" w:hAnsi="Courier New" w:cs="Courier New" w:hint="default"/>
      </w:rPr>
    </w:lvl>
    <w:lvl w:ilvl="8" w:tplc="40090005" w:tentative="1">
      <w:start w:val="1"/>
      <w:numFmt w:val="bullet"/>
      <w:lvlText w:val=""/>
      <w:lvlJc w:val="left"/>
      <w:pPr>
        <w:ind w:left="6290" w:hanging="360"/>
      </w:pPr>
      <w:rPr>
        <w:rFonts w:ascii="Wingdings" w:hAnsi="Wingdings" w:hint="default"/>
      </w:rPr>
    </w:lvl>
  </w:abstractNum>
  <w:abstractNum w:abstractNumId="44">
    <w:nsid w:val="59F02483"/>
    <w:multiLevelType w:val="multilevel"/>
    <w:tmpl w:val="62222CF2"/>
    <w:numStyleLink w:val="PRINumbering"/>
  </w:abstractNum>
  <w:abstractNum w:abstractNumId="45">
    <w:nsid w:val="5C4352A8"/>
    <w:multiLevelType w:val="hybridMultilevel"/>
    <w:tmpl w:val="9A1480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61EB46D8"/>
    <w:multiLevelType w:val="hybridMultilevel"/>
    <w:tmpl w:val="C8F28816"/>
    <w:lvl w:ilvl="0" w:tplc="40090001">
      <w:start w:val="1"/>
      <w:numFmt w:val="bullet"/>
      <w:lvlText w:val=""/>
      <w:lvlJc w:val="left"/>
      <w:pPr>
        <w:ind w:left="530" w:hanging="360"/>
      </w:pPr>
      <w:rPr>
        <w:rFonts w:ascii="Symbol" w:hAnsi="Symbol" w:hint="default"/>
      </w:rPr>
    </w:lvl>
    <w:lvl w:ilvl="1" w:tplc="40090019" w:tentative="1">
      <w:start w:val="1"/>
      <w:numFmt w:val="lowerLetter"/>
      <w:lvlText w:val="%2."/>
      <w:lvlJc w:val="left"/>
      <w:pPr>
        <w:ind w:left="1250" w:hanging="360"/>
      </w:pPr>
    </w:lvl>
    <w:lvl w:ilvl="2" w:tplc="4009001B" w:tentative="1">
      <w:start w:val="1"/>
      <w:numFmt w:val="lowerRoman"/>
      <w:lvlText w:val="%3."/>
      <w:lvlJc w:val="right"/>
      <w:pPr>
        <w:ind w:left="1970" w:hanging="180"/>
      </w:pPr>
    </w:lvl>
    <w:lvl w:ilvl="3" w:tplc="4009000F" w:tentative="1">
      <w:start w:val="1"/>
      <w:numFmt w:val="decimal"/>
      <w:lvlText w:val="%4."/>
      <w:lvlJc w:val="left"/>
      <w:pPr>
        <w:ind w:left="2690" w:hanging="360"/>
      </w:pPr>
    </w:lvl>
    <w:lvl w:ilvl="4" w:tplc="40090019" w:tentative="1">
      <w:start w:val="1"/>
      <w:numFmt w:val="lowerLetter"/>
      <w:lvlText w:val="%5."/>
      <w:lvlJc w:val="left"/>
      <w:pPr>
        <w:ind w:left="3410" w:hanging="360"/>
      </w:pPr>
    </w:lvl>
    <w:lvl w:ilvl="5" w:tplc="4009001B" w:tentative="1">
      <w:start w:val="1"/>
      <w:numFmt w:val="lowerRoman"/>
      <w:lvlText w:val="%6."/>
      <w:lvlJc w:val="right"/>
      <w:pPr>
        <w:ind w:left="4130" w:hanging="180"/>
      </w:pPr>
    </w:lvl>
    <w:lvl w:ilvl="6" w:tplc="4009000F" w:tentative="1">
      <w:start w:val="1"/>
      <w:numFmt w:val="decimal"/>
      <w:lvlText w:val="%7."/>
      <w:lvlJc w:val="left"/>
      <w:pPr>
        <w:ind w:left="4850" w:hanging="360"/>
      </w:pPr>
    </w:lvl>
    <w:lvl w:ilvl="7" w:tplc="40090019" w:tentative="1">
      <w:start w:val="1"/>
      <w:numFmt w:val="lowerLetter"/>
      <w:lvlText w:val="%8."/>
      <w:lvlJc w:val="left"/>
      <w:pPr>
        <w:ind w:left="5570" w:hanging="360"/>
      </w:pPr>
    </w:lvl>
    <w:lvl w:ilvl="8" w:tplc="4009001B" w:tentative="1">
      <w:start w:val="1"/>
      <w:numFmt w:val="lowerRoman"/>
      <w:lvlText w:val="%9."/>
      <w:lvlJc w:val="right"/>
      <w:pPr>
        <w:ind w:left="6290" w:hanging="180"/>
      </w:pPr>
    </w:lvl>
  </w:abstractNum>
  <w:abstractNum w:abstractNumId="47">
    <w:nsid w:val="63BD2640"/>
    <w:multiLevelType w:val="hybridMultilevel"/>
    <w:tmpl w:val="358CCBE4"/>
    <w:lvl w:ilvl="0" w:tplc="08090013">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nsid w:val="63CA0638"/>
    <w:multiLevelType w:val="hybridMultilevel"/>
    <w:tmpl w:val="9F02BF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nsid w:val="66B61CCF"/>
    <w:multiLevelType w:val="hybridMultilevel"/>
    <w:tmpl w:val="E618A348"/>
    <w:lvl w:ilvl="0" w:tplc="60B4745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nsid w:val="68543BD6"/>
    <w:multiLevelType w:val="hybridMultilevel"/>
    <w:tmpl w:val="6F848838"/>
    <w:lvl w:ilvl="0" w:tplc="08090001">
      <w:start w:val="1"/>
      <w:numFmt w:val="bullet"/>
      <w:lvlText w:val=""/>
      <w:lvlJc w:val="left"/>
      <w:pPr>
        <w:ind w:left="530" w:hanging="360"/>
      </w:pPr>
      <w:rPr>
        <w:rFonts w:ascii="Symbol" w:hAnsi="Symbol" w:hint="default"/>
      </w:rPr>
    </w:lvl>
    <w:lvl w:ilvl="1" w:tplc="40090019" w:tentative="1">
      <w:start w:val="1"/>
      <w:numFmt w:val="lowerLetter"/>
      <w:lvlText w:val="%2."/>
      <w:lvlJc w:val="left"/>
      <w:pPr>
        <w:ind w:left="1250" w:hanging="360"/>
      </w:pPr>
    </w:lvl>
    <w:lvl w:ilvl="2" w:tplc="4009001B" w:tentative="1">
      <w:start w:val="1"/>
      <w:numFmt w:val="lowerRoman"/>
      <w:lvlText w:val="%3."/>
      <w:lvlJc w:val="right"/>
      <w:pPr>
        <w:ind w:left="1970" w:hanging="180"/>
      </w:pPr>
    </w:lvl>
    <w:lvl w:ilvl="3" w:tplc="4009000F" w:tentative="1">
      <w:start w:val="1"/>
      <w:numFmt w:val="decimal"/>
      <w:lvlText w:val="%4."/>
      <w:lvlJc w:val="left"/>
      <w:pPr>
        <w:ind w:left="2690" w:hanging="360"/>
      </w:pPr>
    </w:lvl>
    <w:lvl w:ilvl="4" w:tplc="40090019" w:tentative="1">
      <w:start w:val="1"/>
      <w:numFmt w:val="lowerLetter"/>
      <w:lvlText w:val="%5."/>
      <w:lvlJc w:val="left"/>
      <w:pPr>
        <w:ind w:left="3410" w:hanging="360"/>
      </w:pPr>
    </w:lvl>
    <w:lvl w:ilvl="5" w:tplc="4009001B" w:tentative="1">
      <w:start w:val="1"/>
      <w:numFmt w:val="lowerRoman"/>
      <w:lvlText w:val="%6."/>
      <w:lvlJc w:val="right"/>
      <w:pPr>
        <w:ind w:left="4130" w:hanging="180"/>
      </w:pPr>
    </w:lvl>
    <w:lvl w:ilvl="6" w:tplc="4009000F" w:tentative="1">
      <w:start w:val="1"/>
      <w:numFmt w:val="decimal"/>
      <w:lvlText w:val="%7."/>
      <w:lvlJc w:val="left"/>
      <w:pPr>
        <w:ind w:left="4850" w:hanging="360"/>
      </w:pPr>
    </w:lvl>
    <w:lvl w:ilvl="7" w:tplc="40090019" w:tentative="1">
      <w:start w:val="1"/>
      <w:numFmt w:val="lowerLetter"/>
      <w:lvlText w:val="%8."/>
      <w:lvlJc w:val="left"/>
      <w:pPr>
        <w:ind w:left="5570" w:hanging="360"/>
      </w:pPr>
    </w:lvl>
    <w:lvl w:ilvl="8" w:tplc="4009001B" w:tentative="1">
      <w:start w:val="1"/>
      <w:numFmt w:val="lowerRoman"/>
      <w:lvlText w:val="%9."/>
      <w:lvlJc w:val="right"/>
      <w:pPr>
        <w:ind w:left="6290" w:hanging="180"/>
      </w:pPr>
    </w:lvl>
  </w:abstractNum>
  <w:abstractNum w:abstractNumId="51">
    <w:nsid w:val="6F9D399E"/>
    <w:multiLevelType w:val="hybridMultilevel"/>
    <w:tmpl w:val="5F64E7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nsid w:val="704022F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nsid w:val="713719D7"/>
    <w:multiLevelType w:val="hybridMultilevel"/>
    <w:tmpl w:val="FB50CD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7CA5413"/>
    <w:multiLevelType w:val="hybridMultilevel"/>
    <w:tmpl w:val="256E5AD4"/>
    <w:lvl w:ilvl="0" w:tplc="40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55">
    <w:nsid w:val="7A1548A3"/>
    <w:multiLevelType w:val="multilevel"/>
    <w:tmpl w:val="62222CF2"/>
    <w:numStyleLink w:val="PRINumbering"/>
  </w:abstractNum>
  <w:abstractNum w:abstractNumId="56">
    <w:nsid w:val="7F286F67"/>
    <w:multiLevelType w:val="hybridMultilevel"/>
    <w:tmpl w:val="3F0652B6"/>
    <w:lvl w:ilvl="0" w:tplc="B97EC640">
      <w:numFmt w:val="bullet"/>
      <w:lvlText w:val="•"/>
      <w:lvlJc w:val="left"/>
      <w:pPr>
        <w:ind w:left="1080" w:hanging="720"/>
      </w:pPr>
      <w:rPr>
        <w:rFonts w:ascii="Alright Sans Regular" w:eastAsia="Times New Roman" w:hAnsi="Alright Sans Regular"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4"/>
  </w:num>
  <w:num w:numId="3">
    <w:abstractNumId w:val="3"/>
  </w:num>
  <w:num w:numId="4">
    <w:abstractNumId w:val="2"/>
  </w:num>
  <w:num w:numId="5">
    <w:abstractNumId w:val="1"/>
  </w:num>
  <w:num w:numId="6">
    <w:abstractNumId w:val="0"/>
  </w:num>
  <w:num w:numId="7">
    <w:abstractNumId w:val="9"/>
  </w:num>
  <w:num w:numId="8">
    <w:abstractNumId w:val="25"/>
  </w:num>
  <w:num w:numId="9">
    <w:abstractNumId w:val="23"/>
  </w:num>
  <w:num w:numId="10">
    <w:abstractNumId w:val="10"/>
  </w:num>
  <w:num w:numId="11">
    <w:abstractNumId w:val="16"/>
  </w:num>
  <w:num w:numId="12">
    <w:abstractNumId w:val="11"/>
  </w:num>
  <w:num w:numId="13">
    <w:abstractNumId w:val="27"/>
  </w:num>
  <w:num w:numId="14">
    <w:abstractNumId w:val="44"/>
  </w:num>
  <w:num w:numId="15">
    <w:abstractNumId w:val="35"/>
  </w:num>
  <w:num w:numId="16">
    <w:abstractNumId w:val="53"/>
  </w:num>
  <w:num w:numId="17">
    <w:abstractNumId w:val="12"/>
  </w:num>
  <w:num w:numId="18">
    <w:abstractNumId w:val="34"/>
  </w:num>
  <w:num w:numId="19">
    <w:abstractNumId w:val="13"/>
  </w:num>
  <w:num w:numId="20">
    <w:abstractNumId w:val="26"/>
  </w:num>
  <w:num w:numId="21">
    <w:abstractNumId w:val="33"/>
  </w:num>
  <w:num w:numId="22">
    <w:abstractNumId w:val="15"/>
  </w:num>
  <w:num w:numId="23">
    <w:abstractNumId w:val="7"/>
  </w:num>
  <w:num w:numId="24">
    <w:abstractNumId w:val="52"/>
  </w:num>
  <w:num w:numId="25">
    <w:abstractNumId w:val="31"/>
  </w:num>
  <w:num w:numId="26">
    <w:abstractNumId w:val="28"/>
  </w:num>
  <w:num w:numId="27">
    <w:abstractNumId w:val="55"/>
  </w:num>
  <w:num w:numId="28">
    <w:abstractNumId w:val="42"/>
  </w:num>
  <w:num w:numId="29">
    <w:abstractNumId w:val="40"/>
  </w:num>
  <w:num w:numId="30">
    <w:abstractNumId w:val="39"/>
  </w:num>
  <w:num w:numId="31">
    <w:abstractNumId w:val="30"/>
  </w:num>
  <w:num w:numId="32">
    <w:abstractNumId w:val="32"/>
  </w:num>
  <w:num w:numId="33">
    <w:abstractNumId w:val="20"/>
  </w:num>
  <w:num w:numId="34">
    <w:abstractNumId w:val="49"/>
  </w:num>
  <w:num w:numId="35">
    <w:abstractNumId w:val="8"/>
  </w:num>
  <w:num w:numId="36">
    <w:abstractNumId w:val="36"/>
  </w:num>
  <w:num w:numId="37">
    <w:abstractNumId w:val="43"/>
  </w:num>
  <w:num w:numId="38">
    <w:abstractNumId w:val="56"/>
  </w:num>
  <w:num w:numId="39">
    <w:abstractNumId w:val="24"/>
  </w:num>
  <w:num w:numId="40">
    <w:abstractNumId w:val="14"/>
  </w:num>
  <w:num w:numId="41">
    <w:abstractNumId w:val="22"/>
  </w:num>
  <w:num w:numId="42">
    <w:abstractNumId w:val="47"/>
  </w:num>
  <w:num w:numId="43">
    <w:abstractNumId w:val="51"/>
  </w:num>
  <w:num w:numId="44">
    <w:abstractNumId w:val="37"/>
  </w:num>
  <w:num w:numId="45">
    <w:abstractNumId w:val="45"/>
  </w:num>
  <w:num w:numId="46">
    <w:abstractNumId w:val="18"/>
  </w:num>
  <w:num w:numId="47">
    <w:abstractNumId w:val="48"/>
  </w:num>
  <w:num w:numId="48">
    <w:abstractNumId w:val="46"/>
  </w:num>
  <w:num w:numId="49">
    <w:abstractNumId w:val="21"/>
  </w:num>
  <w:num w:numId="50">
    <w:abstractNumId w:val="29"/>
  </w:num>
  <w:num w:numId="51">
    <w:abstractNumId w:val="5"/>
  </w:num>
  <w:num w:numId="52">
    <w:abstractNumId w:val="38"/>
  </w:num>
  <w:num w:numId="53">
    <w:abstractNumId w:val="41"/>
  </w:num>
  <w:num w:numId="54">
    <w:abstractNumId w:val="50"/>
  </w:num>
  <w:num w:numId="55">
    <w:abstractNumId w:val="6"/>
  </w:num>
  <w:num w:numId="56">
    <w:abstractNumId w:val="17"/>
  </w:num>
  <w:num w:numId="57">
    <w:abstractNumId w:val="19"/>
  </w:num>
  <w:num w:numId="58">
    <w:abstractNumId w:val="5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GrammaticalErrors/>
  <w:activeWritingStyle w:appName="MSWord" w:lang="en-US" w:vendorID="64" w:dllVersion="131078" w:nlCheck="1" w:checkStyle="1"/>
  <w:activeWritingStyle w:appName="MSWord" w:lang="en-GB" w:vendorID="64" w:dllVersion="131078" w:nlCheck="1" w:checkStyle="1"/>
  <w:activeWritingStyle w:appName="MSWord" w:lang="en-IN" w:vendorID="64" w:dllVersion="131078" w:nlCheck="1" w:checkStyle="1"/>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D27"/>
    <w:rsid w:val="00001885"/>
    <w:rsid w:val="0001652E"/>
    <w:rsid w:val="00025C39"/>
    <w:rsid w:val="00052FFC"/>
    <w:rsid w:val="00054FB7"/>
    <w:rsid w:val="00065204"/>
    <w:rsid w:val="00070AC3"/>
    <w:rsid w:val="00073BCA"/>
    <w:rsid w:val="00077235"/>
    <w:rsid w:val="000928CB"/>
    <w:rsid w:val="000936D7"/>
    <w:rsid w:val="0009574D"/>
    <w:rsid w:val="000A263B"/>
    <w:rsid w:val="000B14FE"/>
    <w:rsid w:val="000C1CF6"/>
    <w:rsid w:val="000F2160"/>
    <w:rsid w:val="0010248B"/>
    <w:rsid w:val="0010301F"/>
    <w:rsid w:val="0010702A"/>
    <w:rsid w:val="001079C4"/>
    <w:rsid w:val="0011067F"/>
    <w:rsid w:val="0011799F"/>
    <w:rsid w:val="00121C15"/>
    <w:rsid w:val="0013186A"/>
    <w:rsid w:val="0013551D"/>
    <w:rsid w:val="00140A62"/>
    <w:rsid w:val="00141367"/>
    <w:rsid w:val="00142F46"/>
    <w:rsid w:val="00151F9C"/>
    <w:rsid w:val="00153870"/>
    <w:rsid w:val="00161E87"/>
    <w:rsid w:val="001654AE"/>
    <w:rsid w:val="00172A7E"/>
    <w:rsid w:val="00173CDB"/>
    <w:rsid w:val="00174140"/>
    <w:rsid w:val="0018429F"/>
    <w:rsid w:val="00187F51"/>
    <w:rsid w:val="00191BC1"/>
    <w:rsid w:val="001925A8"/>
    <w:rsid w:val="001A0CD3"/>
    <w:rsid w:val="001A2D59"/>
    <w:rsid w:val="001B259B"/>
    <w:rsid w:val="001B30B5"/>
    <w:rsid w:val="001B485E"/>
    <w:rsid w:val="001B603A"/>
    <w:rsid w:val="001B70E3"/>
    <w:rsid w:val="001B7937"/>
    <w:rsid w:val="001C1A4D"/>
    <w:rsid w:val="001C1EEB"/>
    <w:rsid w:val="001C2D46"/>
    <w:rsid w:val="001C50D0"/>
    <w:rsid w:val="001C7EAD"/>
    <w:rsid w:val="001D3290"/>
    <w:rsid w:val="001D5C62"/>
    <w:rsid w:val="001E1802"/>
    <w:rsid w:val="001F414E"/>
    <w:rsid w:val="001F4ECD"/>
    <w:rsid w:val="00201700"/>
    <w:rsid w:val="002069BF"/>
    <w:rsid w:val="00207DA9"/>
    <w:rsid w:val="00213767"/>
    <w:rsid w:val="002335F4"/>
    <w:rsid w:val="00235D0C"/>
    <w:rsid w:val="00241959"/>
    <w:rsid w:val="00247554"/>
    <w:rsid w:val="00265CEA"/>
    <w:rsid w:val="0027046E"/>
    <w:rsid w:val="002753BA"/>
    <w:rsid w:val="00283CEE"/>
    <w:rsid w:val="00284D22"/>
    <w:rsid w:val="0029169B"/>
    <w:rsid w:val="002951AC"/>
    <w:rsid w:val="002975B6"/>
    <w:rsid w:val="002C4CE0"/>
    <w:rsid w:val="002D2187"/>
    <w:rsid w:val="002F4514"/>
    <w:rsid w:val="002F4E77"/>
    <w:rsid w:val="00300D0B"/>
    <w:rsid w:val="00300EEC"/>
    <w:rsid w:val="003044D0"/>
    <w:rsid w:val="00304A6F"/>
    <w:rsid w:val="00307DA1"/>
    <w:rsid w:val="0031098B"/>
    <w:rsid w:val="00312FF9"/>
    <w:rsid w:val="0031452A"/>
    <w:rsid w:val="00316224"/>
    <w:rsid w:val="0032319F"/>
    <w:rsid w:val="00326BEA"/>
    <w:rsid w:val="00327210"/>
    <w:rsid w:val="00327660"/>
    <w:rsid w:val="00331320"/>
    <w:rsid w:val="00331CD5"/>
    <w:rsid w:val="0033413A"/>
    <w:rsid w:val="0033550C"/>
    <w:rsid w:val="00336652"/>
    <w:rsid w:val="003450C4"/>
    <w:rsid w:val="00351129"/>
    <w:rsid w:val="003513E0"/>
    <w:rsid w:val="00351CFA"/>
    <w:rsid w:val="00356CDA"/>
    <w:rsid w:val="003648AA"/>
    <w:rsid w:val="00366569"/>
    <w:rsid w:val="003712FF"/>
    <w:rsid w:val="003765BB"/>
    <w:rsid w:val="00376D22"/>
    <w:rsid w:val="00381234"/>
    <w:rsid w:val="0038376B"/>
    <w:rsid w:val="0039671F"/>
    <w:rsid w:val="003A1FCC"/>
    <w:rsid w:val="003A4263"/>
    <w:rsid w:val="003A7E15"/>
    <w:rsid w:val="003B4143"/>
    <w:rsid w:val="003B5C38"/>
    <w:rsid w:val="003B6437"/>
    <w:rsid w:val="003B7E08"/>
    <w:rsid w:val="003C2628"/>
    <w:rsid w:val="003C3865"/>
    <w:rsid w:val="003E55E7"/>
    <w:rsid w:val="003F0E6F"/>
    <w:rsid w:val="003F508E"/>
    <w:rsid w:val="00407356"/>
    <w:rsid w:val="00411097"/>
    <w:rsid w:val="004140B5"/>
    <w:rsid w:val="004219D5"/>
    <w:rsid w:val="0042244B"/>
    <w:rsid w:val="00422582"/>
    <w:rsid w:val="00423DD2"/>
    <w:rsid w:val="00424716"/>
    <w:rsid w:val="00424902"/>
    <w:rsid w:val="00424A52"/>
    <w:rsid w:val="00425231"/>
    <w:rsid w:val="004341B3"/>
    <w:rsid w:val="00436283"/>
    <w:rsid w:val="004364AE"/>
    <w:rsid w:val="004366C9"/>
    <w:rsid w:val="00445C1D"/>
    <w:rsid w:val="0045289A"/>
    <w:rsid w:val="0045739C"/>
    <w:rsid w:val="00461CFE"/>
    <w:rsid w:val="00470987"/>
    <w:rsid w:val="00482AC7"/>
    <w:rsid w:val="00483377"/>
    <w:rsid w:val="004A47D7"/>
    <w:rsid w:val="004A5601"/>
    <w:rsid w:val="004A7DFC"/>
    <w:rsid w:val="004B0994"/>
    <w:rsid w:val="004B10CC"/>
    <w:rsid w:val="004B1336"/>
    <w:rsid w:val="004B2F95"/>
    <w:rsid w:val="004B406A"/>
    <w:rsid w:val="004C43E2"/>
    <w:rsid w:val="004C5458"/>
    <w:rsid w:val="004D01E8"/>
    <w:rsid w:val="004D154E"/>
    <w:rsid w:val="004E6E42"/>
    <w:rsid w:val="004F67BC"/>
    <w:rsid w:val="00522FDC"/>
    <w:rsid w:val="00523CCE"/>
    <w:rsid w:val="00525887"/>
    <w:rsid w:val="0053055C"/>
    <w:rsid w:val="00536E31"/>
    <w:rsid w:val="005372F3"/>
    <w:rsid w:val="0053753B"/>
    <w:rsid w:val="00541225"/>
    <w:rsid w:val="00547117"/>
    <w:rsid w:val="00571A89"/>
    <w:rsid w:val="00571B86"/>
    <w:rsid w:val="005727E4"/>
    <w:rsid w:val="0057515B"/>
    <w:rsid w:val="005827D1"/>
    <w:rsid w:val="00592D0B"/>
    <w:rsid w:val="00593A21"/>
    <w:rsid w:val="005A3724"/>
    <w:rsid w:val="005B10FF"/>
    <w:rsid w:val="005B4C52"/>
    <w:rsid w:val="005B584F"/>
    <w:rsid w:val="005B5BE9"/>
    <w:rsid w:val="005B6055"/>
    <w:rsid w:val="005B6B5C"/>
    <w:rsid w:val="005B7A27"/>
    <w:rsid w:val="005B7ED3"/>
    <w:rsid w:val="005C430D"/>
    <w:rsid w:val="005D32D9"/>
    <w:rsid w:val="005D4B1C"/>
    <w:rsid w:val="005E3E6C"/>
    <w:rsid w:val="005E4032"/>
    <w:rsid w:val="005E6D3A"/>
    <w:rsid w:val="005F5F59"/>
    <w:rsid w:val="005F75D6"/>
    <w:rsid w:val="006000C2"/>
    <w:rsid w:val="0060145D"/>
    <w:rsid w:val="00601BB9"/>
    <w:rsid w:val="00611310"/>
    <w:rsid w:val="00614CFF"/>
    <w:rsid w:val="006254D7"/>
    <w:rsid w:val="006308F4"/>
    <w:rsid w:val="006324B9"/>
    <w:rsid w:val="0063354F"/>
    <w:rsid w:val="00634EBA"/>
    <w:rsid w:val="0063565D"/>
    <w:rsid w:val="00644696"/>
    <w:rsid w:val="00652786"/>
    <w:rsid w:val="00653097"/>
    <w:rsid w:val="00656960"/>
    <w:rsid w:val="006634F7"/>
    <w:rsid w:val="006652EE"/>
    <w:rsid w:val="0066596D"/>
    <w:rsid w:val="006666C5"/>
    <w:rsid w:val="00667A65"/>
    <w:rsid w:val="00670645"/>
    <w:rsid w:val="006800AF"/>
    <w:rsid w:val="0068323F"/>
    <w:rsid w:val="006843E6"/>
    <w:rsid w:val="00692CFF"/>
    <w:rsid w:val="0069437C"/>
    <w:rsid w:val="006A08BA"/>
    <w:rsid w:val="006A6CD7"/>
    <w:rsid w:val="006C1B37"/>
    <w:rsid w:val="006C20D7"/>
    <w:rsid w:val="006C22D3"/>
    <w:rsid w:val="006C43C9"/>
    <w:rsid w:val="006D0439"/>
    <w:rsid w:val="006D6EDF"/>
    <w:rsid w:val="006E13E8"/>
    <w:rsid w:val="006E649C"/>
    <w:rsid w:val="006E6691"/>
    <w:rsid w:val="006F622B"/>
    <w:rsid w:val="00700591"/>
    <w:rsid w:val="00701DB4"/>
    <w:rsid w:val="00705C04"/>
    <w:rsid w:val="0071094E"/>
    <w:rsid w:val="00710A7C"/>
    <w:rsid w:val="00712636"/>
    <w:rsid w:val="00714235"/>
    <w:rsid w:val="00714348"/>
    <w:rsid w:val="00721CC8"/>
    <w:rsid w:val="007254D4"/>
    <w:rsid w:val="00731179"/>
    <w:rsid w:val="00731A89"/>
    <w:rsid w:val="00733715"/>
    <w:rsid w:val="00747B79"/>
    <w:rsid w:val="00747EF0"/>
    <w:rsid w:val="00750BE7"/>
    <w:rsid w:val="007526C9"/>
    <w:rsid w:val="0075723E"/>
    <w:rsid w:val="00760C6F"/>
    <w:rsid w:val="00763344"/>
    <w:rsid w:val="00763748"/>
    <w:rsid w:val="00772F0E"/>
    <w:rsid w:val="007863AB"/>
    <w:rsid w:val="00790A65"/>
    <w:rsid w:val="00791313"/>
    <w:rsid w:val="00794B24"/>
    <w:rsid w:val="00797F67"/>
    <w:rsid w:val="007A05B8"/>
    <w:rsid w:val="007A0A04"/>
    <w:rsid w:val="007A78ED"/>
    <w:rsid w:val="007B02F9"/>
    <w:rsid w:val="007B0711"/>
    <w:rsid w:val="007B2946"/>
    <w:rsid w:val="007B4F8B"/>
    <w:rsid w:val="007C43C6"/>
    <w:rsid w:val="007C50A0"/>
    <w:rsid w:val="007C7694"/>
    <w:rsid w:val="007C7BB4"/>
    <w:rsid w:val="007C7F98"/>
    <w:rsid w:val="007D3447"/>
    <w:rsid w:val="007D69EC"/>
    <w:rsid w:val="007F0203"/>
    <w:rsid w:val="007F1732"/>
    <w:rsid w:val="007F4A72"/>
    <w:rsid w:val="007F640C"/>
    <w:rsid w:val="007F696D"/>
    <w:rsid w:val="007F75EE"/>
    <w:rsid w:val="00801203"/>
    <w:rsid w:val="00802F58"/>
    <w:rsid w:val="008036B2"/>
    <w:rsid w:val="00804354"/>
    <w:rsid w:val="0082025E"/>
    <w:rsid w:val="008215F6"/>
    <w:rsid w:val="00822AB2"/>
    <w:rsid w:val="00825AD7"/>
    <w:rsid w:val="008368BB"/>
    <w:rsid w:val="00837EA2"/>
    <w:rsid w:val="0084225D"/>
    <w:rsid w:val="00842AA6"/>
    <w:rsid w:val="00851677"/>
    <w:rsid w:val="00851B7D"/>
    <w:rsid w:val="00857F9B"/>
    <w:rsid w:val="008669CF"/>
    <w:rsid w:val="0086706E"/>
    <w:rsid w:val="00871369"/>
    <w:rsid w:val="00872B53"/>
    <w:rsid w:val="008765D3"/>
    <w:rsid w:val="00890993"/>
    <w:rsid w:val="00891275"/>
    <w:rsid w:val="0089225D"/>
    <w:rsid w:val="00896472"/>
    <w:rsid w:val="008A7016"/>
    <w:rsid w:val="008A763A"/>
    <w:rsid w:val="008D1D7E"/>
    <w:rsid w:val="008D30E8"/>
    <w:rsid w:val="008E30D9"/>
    <w:rsid w:val="008E4EE9"/>
    <w:rsid w:val="008E6688"/>
    <w:rsid w:val="008E7B03"/>
    <w:rsid w:val="008F7868"/>
    <w:rsid w:val="00900DA6"/>
    <w:rsid w:val="00903B63"/>
    <w:rsid w:val="009153B6"/>
    <w:rsid w:val="00917076"/>
    <w:rsid w:val="009201A5"/>
    <w:rsid w:val="0092732C"/>
    <w:rsid w:val="00936049"/>
    <w:rsid w:val="00936900"/>
    <w:rsid w:val="00936DC0"/>
    <w:rsid w:val="00944BD1"/>
    <w:rsid w:val="00945994"/>
    <w:rsid w:val="00956A92"/>
    <w:rsid w:val="00957824"/>
    <w:rsid w:val="0096560E"/>
    <w:rsid w:val="0098553C"/>
    <w:rsid w:val="00985936"/>
    <w:rsid w:val="00987059"/>
    <w:rsid w:val="00994D92"/>
    <w:rsid w:val="009B6B53"/>
    <w:rsid w:val="009B7423"/>
    <w:rsid w:val="009C1D27"/>
    <w:rsid w:val="009C32D6"/>
    <w:rsid w:val="009C682F"/>
    <w:rsid w:val="009C6C6B"/>
    <w:rsid w:val="009D0A56"/>
    <w:rsid w:val="009D1C00"/>
    <w:rsid w:val="009D46A1"/>
    <w:rsid w:val="009D65A9"/>
    <w:rsid w:val="009D7347"/>
    <w:rsid w:val="009E13E3"/>
    <w:rsid w:val="009E3D87"/>
    <w:rsid w:val="009F0EC1"/>
    <w:rsid w:val="009F68DE"/>
    <w:rsid w:val="009F7430"/>
    <w:rsid w:val="00A006C1"/>
    <w:rsid w:val="00A04E89"/>
    <w:rsid w:val="00A103A2"/>
    <w:rsid w:val="00A10BA3"/>
    <w:rsid w:val="00A1189F"/>
    <w:rsid w:val="00A2181D"/>
    <w:rsid w:val="00A4578E"/>
    <w:rsid w:val="00A458EF"/>
    <w:rsid w:val="00A518D6"/>
    <w:rsid w:val="00A54C5B"/>
    <w:rsid w:val="00A57816"/>
    <w:rsid w:val="00A63E5B"/>
    <w:rsid w:val="00A7050D"/>
    <w:rsid w:val="00A71E37"/>
    <w:rsid w:val="00A93BCB"/>
    <w:rsid w:val="00A9532F"/>
    <w:rsid w:val="00A96AE2"/>
    <w:rsid w:val="00A96E7C"/>
    <w:rsid w:val="00AA6593"/>
    <w:rsid w:val="00AB1ADC"/>
    <w:rsid w:val="00AB57F2"/>
    <w:rsid w:val="00AB5EDC"/>
    <w:rsid w:val="00AB67D5"/>
    <w:rsid w:val="00AB6C0F"/>
    <w:rsid w:val="00AB750E"/>
    <w:rsid w:val="00AC6560"/>
    <w:rsid w:val="00AD0D18"/>
    <w:rsid w:val="00AD188F"/>
    <w:rsid w:val="00AD4050"/>
    <w:rsid w:val="00AE0F90"/>
    <w:rsid w:val="00AE100E"/>
    <w:rsid w:val="00AF6D0F"/>
    <w:rsid w:val="00B02D84"/>
    <w:rsid w:val="00B077C7"/>
    <w:rsid w:val="00B1361C"/>
    <w:rsid w:val="00B22BF8"/>
    <w:rsid w:val="00B27F84"/>
    <w:rsid w:val="00B50261"/>
    <w:rsid w:val="00B55516"/>
    <w:rsid w:val="00B579FB"/>
    <w:rsid w:val="00B60221"/>
    <w:rsid w:val="00B610B4"/>
    <w:rsid w:val="00B733B6"/>
    <w:rsid w:val="00B74559"/>
    <w:rsid w:val="00B8197F"/>
    <w:rsid w:val="00B947F1"/>
    <w:rsid w:val="00BB248A"/>
    <w:rsid w:val="00BC440C"/>
    <w:rsid w:val="00BC5C02"/>
    <w:rsid w:val="00BD0BB1"/>
    <w:rsid w:val="00BD6EAE"/>
    <w:rsid w:val="00BE3A74"/>
    <w:rsid w:val="00BE77E6"/>
    <w:rsid w:val="00C00873"/>
    <w:rsid w:val="00C01957"/>
    <w:rsid w:val="00C032DE"/>
    <w:rsid w:val="00C12AD3"/>
    <w:rsid w:val="00C15066"/>
    <w:rsid w:val="00C20712"/>
    <w:rsid w:val="00C23AE8"/>
    <w:rsid w:val="00C24CC1"/>
    <w:rsid w:val="00C24CDE"/>
    <w:rsid w:val="00C27A9C"/>
    <w:rsid w:val="00C32898"/>
    <w:rsid w:val="00C544ED"/>
    <w:rsid w:val="00C632EB"/>
    <w:rsid w:val="00C7420A"/>
    <w:rsid w:val="00C75DEE"/>
    <w:rsid w:val="00C76E19"/>
    <w:rsid w:val="00C8123B"/>
    <w:rsid w:val="00C815E6"/>
    <w:rsid w:val="00C839E4"/>
    <w:rsid w:val="00C867A7"/>
    <w:rsid w:val="00C86C85"/>
    <w:rsid w:val="00C90258"/>
    <w:rsid w:val="00C916FE"/>
    <w:rsid w:val="00C91F46"/>
    <w:rsid w:val="00CA064C"/>
    <w:rsid w:val="00CA0B3C"/>
    <w:rsid w:val="00CC577C"/>
    <w:rsid w:val="00CC7D35"/>
    <w:rsid w:val="00CD3D0F"/>
    <w:rsid w:val="00CD3E62"/>
    <w:rsid w:val="00CE000A"/>
    <w:rsid w:val="00CE0814"/>
    <w:rsid w:val="00CE5FD2"/>
    <w:rsid w:val="00CE6D4B"/>
    <w:rsid w:val="00CE7FB1"/>
    <w:rsid w:val="00CF462B"/>
    <w:rsid w:val="00D0386E"/>
    <w:rsid w:val="00D04636"/>
    <w:rsid w:val="00D129C3"/>
    <w:rsid w:val="00D25095"/>
    <w:rsid w:val="00D25146"/>
    <w:rsid w:val="00D2596D"/>
    <w:rsid w:val="00D25F41"/>
    <w:rsid w:val="00D302C5"/>
    <w:rsid w:val="00D30BA3"/>
    <w:rsid w:val="00D4383C"/>
    <w:rsid w:val="00D44B8F"/>
    <w:rsid w:val="00D46ED8"/>
    <w:rsid w:val="00D727F8"/>
    <w:rsid w:val="00D7410A"/>
    <w:rsid w:val="00D84298"/>
    <w:rsid w:val="00D84A19"/>
    <w:rsid w:val="00D901A2"/>
    <w:rsid w:val="00D92D6C"/>
    <w:rsid w:val="00D92EC5"/>
    <w:rsid w:val="00D94CAE"/>
    <w:rsid w:val="00DA2E52"/>
    <w:rsid w:val="00DA5C48"/>
    <w:rsid w:val="00DB1613"/>
    <w:rsid w:val="00DB3C63"/>
    <w:rsid w:val="00DC20FA"/>
    <w:rsid w:val="00DC4489"/>
    <w:rsid w:val="00DD0D57"/>
    <w:rsid w:val="00DD44F6"/>
    <w:rsid w:val="00DE0064"/>
    <w:rsid w:val="00DE4383"/>
    <w:rsid w:val="00DF453C"/>
    <w:rsid w:val="00DF5F8A"/>
    <w:rsid w:val="00E07036"/>
    <w:rsid w:val="00E07FB3"/>
    <w:rsid w:val="00E20680"/>
    <w:rsid w:val="00E20944"/>
    <w:rsid w:val="00E225EC"/>
    <w:rsid w:val="00E230A6"/>
    <w:rsid w:val="00E24053"/>
    <w:rsid w:val="00E31235"/>
    <w:rsid w:val="00E47AE4"/>
    <w:rsid w:val="00E6671B"/>
    <w:rsid w:val="00E716A9"/>
    <w:rsid w:val="00E86B2F"/>
    <w:rsid w:val="00E94836"/>
    <w:rsid w:val="00E966DD"/>
    <w:rsid w:val="00EA1C63"/>
    <w:rsid w:val="00EA2CA7"/>
    <w:rsid w:val="00EA30F1"/>
    <w:rsid w:val="00EA3661"/>
    <w:rsid w:val="00EB4D1C"/>
    <w:rsid w:val="00EC0BAF"/>
    <w:rsid w:val="00EC399F"/>
    <w:rsid w:val="00ED1D5A"/>
    <w:rsid w:val="00ED4553"/>
    <w:rsid w:val="00ED7E46"/>
    <w:rsid w:val="00EE6296"/>
    <w:rsid w:val="00EE7AA6"/>
    <w:rsid w:val="00EF16A7"/>
    <w:rsid w:val="00F02E05"/>
    <w:rsid w:val="00F12CF7"/>
    <w:rsid w:val="00F13D1F"/>
    <w:rsid w:val="00F14685"/>
    <w:rsid w:val="00F35021"/>
    <w:rsid w:val="00F37AF0"/>
    <w:rsid w:val="00F5294A"/>
    <w:rsid w:val="00F52AC9"/>
    <w:rsid w:val="00F546FF"/>
    <w:rsid w:val="00F567D2"/>
    <w:rsid w:val="00F604C5"/>
    <w:rsid w:val="00F7006C"/>
    <w:rsid w:val="00F75E48"/>
    <w:rsid w:val="00F812F6"/>
    <w:rsid w:val="00F816F2"/>
    <w:rsid w:val="00F82003"/>
    <w:rsid w:val="00F83E7B"/>
    <w:rsid w:val="00F90A98"/>
    <w:rsid w:val="00F958CE"/>
    <w:rsid w:val="00FA0BF8"/>
    <w:rsid w:val="00FA4069"/>
    <w:rsid w:val="00FA5B90"/>
    <w:rsid w:val="00FB0633"/>
    <w:rsid w:val="00FC0F9A"/>
    <w:rsid w:val="00FC3703"/>
    <w:rsid w:val="00FD3B85"/>
    <w:rsid w:val="00FD4B89"/>
    <w:rsid w:val="00FE1901"/>
    <w:rsid w:val="00FE4D51"/>
    <w:rsid w:val="00FF0DD5"/>
    <w:rsid w:val="00FF2140"/>
    <w:rsid w:val="129BBAA7"/>
    <w:rsid w:val="1739AECC"/>
    <w:rsid w:val="5181BFCE"/>
    <w:rsid w:val="55DBD5BB"/>
  </w:rsids>
  <m:mathPr>
    <m:mathFont m:val="Cambria Math"/>
    <m:brkBin m:val="before"/>
    <m:brkBinSub m:val="--"/>
    <m:smallFrac/>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2D0C7526"/>
  <w15:docId w15:val="{E7B037B2-1CDB-489E-88A3-8AAECEA0F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PGothic" w:hAnsi="Calibri" w:cs="Times New Roman"/>
        <w:lang w:val="en-GB" w:eastAsia="en-US" w:bidi="ar-SA"/>
      </w:rPr>
    </w:rPrDefault>
    <w:pPrDefault/>
  </w:docDefaults>
  <w:latentStyles w:defLockedState="0" w:defUIPriority="99" w:defSemiHidden="0" w:defUnhideWhenUsed="0" w:defQFormat="0" w:count="371">
    <w:lsdException w:name="Normal" w:uiPriority="5"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19" w:unhideWhenUsed="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uiPriority="37"/>
    <w:lsdException w:name="Colorful Shading Accent 6" w:uiPriority="39"/>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PRI Body"/>
    <w:uiPriority w:val="5"/>
    <w:qFormat/>
    <w:rsid w:val="009D7347"/>
    <w:pPr>
      <w:widowControl w:val="0"/>
      <w:autoSpaceDE w:val="0"/>
      <w:autoSpaceDN w:val="0"/>
      <w:adjustRightInd w:val="0"/>
      <w:spacing w:before="120" w:after="240" w:line="312" w:lineRule="auto"/>
    </w:pPr>
    <w:rPr>
      <w:rFonts w:ascii="Arial" w:hAnsi="Arial" w:cs="Arial"/>
    </w:rPr>
  </w:style>
  <w:style w:type="paragraph" w:styleId="Heading1">
    <w:name w:val="heading 1"/>
    <w:aliases w:val="PRI Heading 1"/>
    <w:basedOn w:val="Normal"/>
    <w:next w:val="Normal"/>
    <w:link w:val="Heading1Char"/>
    <w:uiPriority w:val="1"/>
    <w:qFormat/>
    <w:rsid w:val="001654AE"/>
    <w:pPr>
      <w:spacing w:before="360"/>
      <w:contextualSpacing/>
      <w:outlineLvl w:val="0"/>
    </w:pPr>
    <w:rPr>
      <w:b/>
      <w:color w:val="0050A6"/>
      <w:sz w:val="32"/>
      <w:szCs w:val="36"/>
    </w:rPr>
  </w:style>
  <w:style w:type="paragraph" w:styleId="Heading2">
    <w:name w:val="heading 2"/>
    <w:aliases w:val="PRI Heading 2"/>
    <w:basedOn w:val="Normal"/>
    <w:next w:val="Normal"/>
    <w:link w:val="Heading2Char"/>
    <w:uiPriority w:val="2"/>
    <w:unhideWhenUsed/>
    <w:qFormat/>
    <w:rsid w:val="001654AE"/>
    <w:pPr>
      <w:spacing w:before="360" w:after="200"/>
      <w:contextualSpacing/>
      <w:outlineLvl w:val="1"/>
    </w:pPr>
    <w:rPr>
      <w:b/>
      <w:bCs/>
      <w:color w:val="008CD0"/>
      <w:sz w:val="30"/>
      <w:szCs w:val="28"/>
    </w:rPr>
  </w:style>
  <w:style w:type="paragraph" w:styleId="Heading3">
    <w:name w:val="heading 3"/>
    <w:aliases w:val="PRI Heading 3"/>
    <w:basedOn w:val="Normal"/>
    <w:next w:val="Normal"/>
    <w:link w:val="Heading3Char"/>
    <w:uiPriority w:val="3"/>
    <w:unhideWhenUsed/>
    <w:qFormat/>
    <w:rsid w:val="001654AE"/>
    <w:pPr>
      <w:spacing w:before="360" w:after="160"/>
      <w:contextualSpacing/>
      <w:outlineLvl w:val="2"/>
    </w:pPr>
    <w:rPr>
      <w:b/>
      <w:bCs/>
      <w:color w:val="008CD0"/>
      <w:sz w:val="24"/>
      <w:szCs w:val="24"/>
    </w:rPr>
  </w:style>
  <w:style w:type="paragraph" w:styleId="Heading4">
    <w:name w:val="heading 4"/>
    <w:aliases w:val="PRI Heading 4"/>
    <w:basedOn w:val="Normal"/>
    <w:next w:val="Normal"/>
    <w:link w:val="Heading4Char"/>
    <w:uiPriority w:val="4"/>
    <w:unhideWhenUsed/>
    <w:qFormat/>
    <w:rsid w:val="005B584F"/>
    <w:pPr>
      <w:spacing w:after="0"/>
      <w:contextualSpacing/>
      <w:outlineLvl w:val="3"/>
    </w:pPr>
    <w:rPr>
      <w:b/>
      <w:bCs/>
      <w:color w:val="008CC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58EF"/>
    <w:pPr>
      <w:tabs>
        <w:tab w:val="center" w:pos="4320"/>
        <w:tab w:val="right" w:pos="8640"/>
      </w:tabs>
    </w:pPr>
  </w:style>
  <w:style w:type="character" w:customStyle="1" w:styleId="HeaderChar">
    <w:name w:val="Header Char"/>
    <w:basedOn w:val="DefaultParagraphFont"/>
    <w:link w:val="Header"/>
    <w:uiPriority w:val="99"/>
    <w:rsid w:val="00A458EF"/>
  </w:style>
  <w:style w:type="paragraph" w:styleId="Footer">
    <w:name w:val="footer"/>
    <w:basedOn w:val="Normal"/>
    <w:link w:val="FooterChar"/>
    <w:uiPriority w:val="99"/>
    <w:unhideWhenUsed/>
    <w:rsid w:val="00A458EF"/>
    <w:pPr>
      <w:tabs>
        <w:tab w:val="center" w:pos="4320"/>
        <w:tab w:val="right" w:pos="8640"/>
      </w:tabs>
    </w:pPr>
  </w:style>
  <w:style w:type="character" w:customStyle="1" w:styleId="FooterChar">
    <w:name w:val="Footer Char"/>
    <w:basedOn w:val="DefaultParagraphFont"/>
    <w:link w:val="Footer"/>
    <w:uiPriority w:val="99"/>
    <w:rsid w:val="00A458EF"/>
  </w:style>
  <w:style w:type="paragraph" w:styleId="ListParagraph">
    <w:name w:val="List Paragraph"/>
    <w:aliases w:val="PRI Bullets,List Paragraph1,Paragraphe de liste"/>
    <w:basedOn w:val="Normal"/>
    <w:uiPriority w:val="34"/>
    <w:qFormat/>
    <w:rsid w:val="002975B6"/>
    <w:pPr>
      <w:numPr>
        <w:numId w:val="1"/>
      </w:numPr>
      <w:spacing w:before="60" w:after="60" w:line="288" w:lineRule="auto"/>
    </w:pPr>
  </w:style>
  <w:style w:type="character" w:customStyle="1" w:styleId="Heading1Char">
    <w:name w:val="Heading 1 Char"/>
    <w:aliases w:val="PRI Heading 1 Char"/>
    <w:basedOn w:val="DefaultParagraphFont"/>
    <w:link w:val="Heading1"/>
    <w:uiPriority w:val="1"/>
    <w:rsid w:val="001654AE"/>
    <w:rPr>
      <w:rFonts w:ascii="Arial" w:hAnsi="Arial" w:cs="Arial"/>
      <w:b/>
      <w:color w:val="0050A6"/>
      <w:sz w:val="32"/>
      <w:szCs w:val="36"/>
    </w:rPr>
  </w:style>
  <w:style w:type="character" w:customStyle="1" w:styleId="Heading2Char">
    <w:name w:val="Heading 2 Char"/>
    <w:aliases w:val="PRI Heading 2 Char"/>
    <w:basedOn w:val="DefaultParagraphFont"/>
    <w:link w:val="Heading2"/>
    <w:uiPriority w:val="2"/>
    <w:rsid w:val="001654AE"/>
    <w:rPr>
      <w:rFonts w:ascii="Arial" w:hAnsi="Arial" w:cs="Arial"/>
      <w:b/>
      <w:bCs/>
      <w:color w:val="008CD0"/>
      <w:sz w:val="30"/>
      <w:szCs w:val="28"/>
    </w:rPr>
  </w:style>
  <w:style w:type="character" w:customStyle="1" w:styleId="Heading3Char">
    <w:name w:val="Heading 3 Char"/>
    <w:aliases w:val="PRI Heading 3 Char"/>
    <w:basedOn w:val="DefaultParagraphFont"/>
    <w:link w:val="Heading3"/>
    <w:uiPriority w:val="3"/>
    <w:rsid w:val="001654AE"/>
    <w:rPr>
      <w:rFonts w:ascii="Arial" w:hAnsi="Arial" w:cs="Arial"/>
      <w:b/>
      <w:bCs/>
      <w:color w:val="008CD0"/>
      <w:sz w:val="24"/>
      <w:szCs w:val="24"/>
    </w:rPr>
  </w:style>
  <w:style w:type="character" w:customStyle="1" w:styleId="Heading4Char">
    <w:name w:val="Heading 4 Char"/>
    <w:aliases w:val="PRI Heading 4 Char"/>
    <w:basedOn w:val="DefaultParagraphFont"/>
    <w:link w:val="Heading4"/>
    <w:uiPriority w:val="4"/>
    <w:rsid w:val="005B584F"/>
    <w:rPr>
      <w:rFonts w:ascii="Arial" w:hAnsi="Arial" w:cs="Arial"/>
      <w:b/>
      <w:bCs/>
      <w:color w:val="008CC8"/>
      <w:szCs w:val="24"/>
    </w:rPr>
  </w:style>
  <w:style w:type="paragraph" w:styleId="Title">
    <w:name w:val="Title"/>
    <w:aliases w:val="PRI Title"/>
    <w:basedOn w:val="Normal"/>
    <w:next w:val="Normal"/>
    <w:link w:val="TitleChar"/>
    <w:uiPriority w:val="10"/>
    <w:qFormat/>
    <w:rsid w:val="00C20712"/>
    <w:pPr>
      <w:pBdr>
        <w:bottom w:val="single" w:sz="8" w:space="4" w:color="0050A6"/>
      </w:pBdr>
      <w:spacing w:before="1760" w:after="420" w:line="240" w:lineRule="auto"/>
      <w:contextualSpacing/>
    </w:pPr>
    <w:rPr>
      <w:color w:val="0050A6"/>
      <w:sz w:val="44"/>
      <w:szCs w:val="56"/>
    </w:rPr>
  </w:style>
  <w:style w:type="character" w:customStyle="1" w:styleId="TitleChar">
    <w:name w:val="Title Char"/>
    <w:aliases w:val="PRI Title Char"/>
    <w:basedOn w:val="DefaultParagraphFont"/>
    <w:link w:val="Title"/>
    <w:uiPriority w:val="10"/>
    <w:rsid w:val="00C20712"/>
    <w:rPr>
      <w:rFonts w:ascii="Arial" w:hAnsi="Arial" w:cs="Arial"/>
      <w:color w:val="0050A6"/>
      <w:sz w:val="44"/>
      <w:szCs w:val="56"/>
    </w:rPr>
  </w:style>
  <w:style w:type="paragraph" w:styleId="Quote">
    <w:name w:val="Quote"/>
    <w:aliases w:val="PRI Quote"/>
    <w:basedOn w:val="Normal"/>
    <w:next w:val="Normal"/>
    <w:link w:val="QuoteChar"/>
    <w:uiPriority w:val="7"/>
    <w:qFormat/>
    <w:rsid w:val="00141367"/>
    <w:pPr>
      <w:spacing w:before="100" w:after="100"/>
      <w:ind w:left="341" w:right="284" w:hanging="57"/>
    </w:pPr>
    <w:rPr>
      <w:i/>
    </w:rPr>
  </w:style>
  <w:style w:type="character" w:customStyle="1" w:styleId="QuoteChar">
    <w:name w:val="Quote Char"/>
    <w:aliases w:val="PRI Quote Char"/>
    <w:basedOn w:val="DefaultParagraphFont"/>
    <w:link w:val="Quote"/>
    <w:uiPriority w:val="7"/>
    <w:rsid w:val="00FA4069"/>
    <w:rPr>
      <w:rFonts w:ascii="Arial" w:hAnsi="Arial" w:cs="Arial"/>
      <w:i/>
      <w:sz w:val="20"/>
      <w:szCs w:val="20"/>
    </w:rPr>
  </w:style>
  <w:style w:type="character" w:styleId="Strong">
    <w:name w:val="Strong"/>
    <w:aliases w:val="PRI Bold Body"/>
    <w:uiPriority w:val="22"/>
    <w:qFormat/>
    <w:rsid w:val="00304A6F"/>
    <w:rPr>
      <w:rFonts w:ascii="Arial" w:hAnsi="Arial"/>
      <w:b/>
      <w:i w:val="0"/>
    </w:rPr>
  </w:style>
  <w:style w:type="paragraph" w:customStyle="1" w:styleId="PRIFigureCaption">
    <w:name w:val="PRI Figure Caption"/>
    <w:basedOn w:val="Normal"/>
    <w:uiPriority w:val="9"/>
    <w:qFormat/>
    <w:rsid w:val="00B60221"/>
    <w:pPr>
      <w:spacing w:after="320"/>
      <w:jc w:val="right"/>
    </w:pPr>
    <w:rPr>
      <w:color w:val="595959"/>
      <w:sz w:val="18"/>
      <w:szCs w:val="18"/>
    </w:rPr>
  </w:style>
  <w:style w:type="paragraph" w:customStyle="1" w:styleId="PRITableHeading">
    <w:name w:val="PRI Table Heading"/>
    <w:basedOn w:val="Normal"/>
    <w:uiPriority w:val="11"/>
    <w:qFormat/>
    <w:rsid w:val="004C5458"/>
    <w:rPr>
      <w:color w:val="FFFFFF"/>
      <w:sz w:val="24"/>
      <w:szCs w:val="24"/>
    </w:rPr>
  </w:style>
  <w:style w:type="paragraph" w:customStyle="1" w:styleId="PRITableContent">
    <w:name w:val="PRI Table Content"/>
    <w:basedOn w:val="Normal"/>
    <w:qFormat/>
    <w:rsid w:val="008A7016"/>
    <w:pPr>
      <w:spacing w:line="240" w:lineRule="auto"/>
    </w:pPr>
  </w:style>
  <w:style w:type="paragraph" w:styleId="FootnoteText">
    <w:name w:val="footnote text"/>
    <w:aliases w:val="PRI Footnote Text"/>
    <w:basedOn w:val="Normal"/>
    <w:link w:val="FootnoteTextChar"/>
    <w:autoRedefine/>
    <w:uiPriority w:val="99"/>
    <w:unhideWhenUsed/>
    <w:qFormat/>
    <w:rsid w:val="00B1361C"/>
    <w:pPr>
      <w:spacing w:line="240" w:lineRule="auto"/>
    </w:pPr>
    <w:rPr>
      <w:color w:val="808080"/>
      <w:sz w:val="17"/>
      <w:szCs w:val="24"/>
    </w:rPr>
  </w:style>
  <w:style w:type="character" w:customStyle="1" w:styleId="FootnoteTextChar">
    <w:name w:val="Footnote Text Char"/>
    <w:aliases w:val="PRI Footnote Text Char"/>
    <w:basedOn w:val="DefaultParagraphFont"/>
    <w:link w:val="FootnoteText"/>
    <w:uiPriority w:val="99"/>
    <w:rsid w:val="00C867A7"/>
    <w:rPr>
      <w:rFonts w:ascii="Arial" w:hAnsi="Arial" w:cs="Arial"/>
      <w:color w:val="808080"/>
      <w:sz w:val="17"/>
    </w:rPr>
  </w:style>
  <w:style w:type="character" w:styleId="FootnoteReference">
    <w:name w:val="footnote reference"/>
    <w:basedOn w:val="DefaultParagraphFont"/>
    <w:uiPriority w:val="99"/>
    <w:unhideWhenUsed/>
    <w:rsid w:val="00B1361C"/>
    <w:rPr>
      <w:vertAlign w:val="superscript"/>
    </w:rPr>
  </w:style>
  <w:style w:type="character" w:styleId="SubtleEmphasis">
    <w:name w:val="Subtle Emphasis"/>
    <w:basedOn w:val="DefaultParagraphFont"/>
    <w:uiPriority w:val="19"/>
    <w:rsid w:val="0045739C"/>
    <w:rPr>
      <w:i/>
      <w:iCs/>
      <w:color w:val="808080"/>
    </w:rPr>
  </w:style>
  <w:style w:type="character" w:styleId="Emphasis">
    <w:name w:val="Emphasis"/>
    <w:basedOn w:val="DefaultParagraphFont"/>
    <w:uiPriority w:val="20"/>
    <w:rsid w:val="0045739C"/>
    <w:rPr>
      <w:i/>
      <w:iCs/>
    </w:rPr>
  </w:style>
  <w:style w:type="character" w:styleId="IntenseEmphasis">
    <w:name w:val="Intense Emphasis"/>
    <w:basedOn w:val="DefaultParagraphFont"/>
    <w:qFormat/>
    <w:rsid w:val="0045739C"/>
    <w:rPr>
      <w:b/>
      <w:bCs/>
      <w:i/>
      <w:iCs/>
      <w:color w:val="0050A6"/>
    </w:rPr>
  </w:style>
  <w:style w:type="paragraph" w:styleId="IntenseQuote">
    <w:name w:val="Intense Quote"/>
    <w:basedOn w:val="Normal"/>
    <w:next w:val="Normal"/>
    <w:link w:val="IntenseQuoteChar"/>
    <w:uiPriority w:val="30"/>
    <w:rsid w:val="0045739C"/>
    <w:pPr>
      <w:pBdr>
        <w:bottom w:val="single" w:sz="4" w:space="4" w:color="0050A6"/>
      </w:pBdr>
      <w:spacing w:before="200" w:after="280"/>
      <w:ind w:left="936" w:right="936"/>
    </w:pPr>
    <w:rPr>
      <w:b/>
      <w:bCs/>
      <w:i/>
      <w:iCs/>
      <w:color w:val="0050A6"/>
    </w:rPr>
  </w:style>
  <w:style w:type="character" w:customStyle="1" w:styleId="IntenseQuoteChar">
    <w:name w:val="Intense Quote Char"/>
    <w:basedOn w:val="DefaultParagraphFont"/>
    <w:link w:val="IntenseQuote"/>
    <w:uiPriority w:val="30"/>
    <w:rsid w:val="0045739C"/>
    <w:rPr>
      <w:rFonts w:ascii="Alright Sans Regular" w:hAnsi="Alright Sans Regular" w:cs="Arial"/>
      <w:b/>
      <w:bCs/>
      <w:i/>
      <w:iCs/>
      <w:color w:val="0050A6"/>
      <w:sz w:val="20"/>
      <w:szCs w:val="20"/>
    </w:rPr>
  </w:style>
  <w:style w:type="character" w:styleId="SubtleReference">
    <w:name w:val="Subtle Reference"/>
    <w:basedOn w:val="DefaultParagraphFont"/>
    <w:uiPriority w:val="31"/>
    <w:rsid w:val="0045739C"/>
    <w:rPr>
      <w:rFonts w:ascii="Alright Sans Regular Italic" w:hAnsi="Alright Sans Regular Italic"/>
      <w:b w:val="0"/>
      <w:i w:val="0"/>
      <w:smallCaps/>
      <w:color w:val="008CC8"/>
      <w:u w:val="single"/>
    </w:rPr>
  </w:style>
  <w:style w:type="character" w:styleId="IntenseReference">
    <w:name w:val="Intense Reference"/>
    <w:basedOn w:val="DefaultParagraphFont"/>
    <w:uiPriority w:val="32"/>
    <w:rsid w:val="0045739C"/>
    <w:rPr>
      <w:b/>
      <w:bCs/>
      <w:smallCaps/>
      <w:color w:val="008CC8"/>
      <w:spacing w:val="5"/>
      <w:u w:val="single"/>
    </w:rPr>
  </w:style>
  <w:style w:type="paragraph" w:styleId="TOC1">
    <w:name w:val="toc 1"/>
    <w:basedOn w:val="Normal"/>
    <w:next w:val="Normal"/>
    <w:link w:val="TOC1Char"/>
    <w:autoRedefine/>
    <w:uiPriority w:val="39"/>
    <w:unhideWhenUsed/>
    <w:qFormat/>
    <w:rsid w:val="00482AC7"/>
    <w:pPr>
      <w:tabs>
        <w:tab w:val="left" w:pos="284"/>
        <w:tab w:val="left" w:pos="567"/>
        <w:tab w:val="left" w:pos="851"/>
        <w:tab w:val="right" w:pos="8658"/>
      </w:tabs>
    </w:pPr>
    <w:rPr>
      <w:noProof/>
    </w:rPr>
  </w:style>
  <w:style w:type="paragraph" w:styleId="TOC2">
    <w:name w:val="toc 2"/>
    <w:basedOn w:val="Normal"/>
    <w:next w:val="Normal"/>
    <w:autoRedefine/>
    <w:uiPriority w:val="39"/>
    <w:unhideWhenUsed/>
    <w:qFormat/>
    <w:rsid w:val="008F7868"/>
    <w:pPr>
      <w:tabs>
        <w:tab w:val="right" w:pos="8658"/>
      </w:tabs>
      <w:spacing w:line="360" w:lineRule="auto"/>
      <w:ind w:left="284"/>
    </w:pPr>
    <w:rPr>
      <w:noProof/>
    </w:rPr>
  </w:style>
  <w:style w:type="paragraph" w:styleId="TOC3">
    <w:name w:val="toc 3"/>
    <w:basedOn w:val="Normal"/>
    <w:next w:val="Normal"/>
    <w:autoRedefine/>
    <w:uiPriority w:val="39"/>
    <w:unhideWhenUsed/>
    <w:qFormat/>
    <w:rsid w:val="008F7868"/>
    <w:pPr>
      <w:tabs>
        <w:tab w:val="right" w:pos="8658"/>
      </w:tabs>
      <w:ind w:left="567"/>
    </w:pPr>
    <w:rPr>
      <w:noProof/>
    </w:rPr>
  </w:style>
  <w:style w:type="paragraph" w:styleId="TOC4">
    <w:name w:val="toc 4"/>
    <w:basedOn w:val="Normal"/>
    <w:next w:val="Normal"/>
    <w:autoRedefine/>
    <w:uiPriority w:val="39"/>
    <w:unhideWhenUsed/>
    <w:qFormat/>
    <w:rsid w:val="008F7868"/>
    <w:pPr>
      <w:tabs>
        <w:tab w:val="right" w:pos="8658"/>
      </w:tabs>
      <w:ind w:left="851"/>
    </w:pPr>
    <w:rPr>
      <w:noProof/>
    </w:rPr>
  </w:style>
  <w:style w:type="paragraph" w:styleId="TOC5">
    <w:name w:val="toc 5"/>
    <w:basedOn w:val="Normal"/>
    <w:next w:val="Normal"/>
    <w:autoRedefine/>
    <w:uiPriority w:val="39"/>
    <w:unhideWhenUsed/>
    <w:rsid w:val="005B7A27"/>
    <w:pPr>
      <w:ind w:left="800"/>
    </w:pPr>
    <w:rPr>
      <w:rFonts w:ascii="Calibri" w:hAnsi="Calibri"/>
    </w:rPr>
  </w:style>
  <w:style w:type="paragraph" w:styleId="TOC6">
    <w:name w:val="toc 6"/>
    <w:basedOn w:val="Normal"/>
    <w:next w:val="Normal"/>
    <w:autoRedefine/>
    <w:uiPriority w:val="39"/>
    <w:unhideWhenUsed/>
    <w:rsid w:val="005B7A27"/>
    <w:pPr>
      <w:ind w:left="1000"/>
    </w:pPr>
    <w:rPr>
      <w:rFonts w:ascii="Calibri" w:hAnsi="Calibri"/>
    </w:rPr>
  </w:style>
  <w:style w:type="paragraph" w:styleId="TOC7">
    <w:name w:val="toc 7"/>
    <w:basedOn w:val="Normal"/>
    <w:next w:val="Normal"/>
    <w:autoRedefine/>
    <w:uiPriority w:val="39"/>
    <w:unhideWhenUsed/>
    <w:rsid w:val="005B7A27"/>
    <w:pPr>
      <w:ind w:left="1200"/>
    </w:pPr>
    <w:rPr>
      <w:rFonts w:ascii="Calibri" w:hAnsi="Calibri"/>
    </w:rPr>
  </w:style>
  <w:style w:type="paragraph" w:styleId="TOC8">
    <w:name w:val="toc 8"/>
    <w:basedOn w:val="Normal"/>
    <w:next w:val="Normal"/>
    <w:autoRedefine/>
    <w:uiPriority w:val="39"/>
    <w:unhideWhenUsed/>
    <w:rsid w:val="005B7A27"/>
    <w:pPr>
      <w:ind w:left="1400"/>
    </w:pPr>
    <w:rPr>
      <w:rFonts w:ascii="Calibri" w:hAnsi="Calibri"/>
    </w:rPr>
  </w:style>
  <w:style w:type="paragraph" w:styleId="TOC9">
    <w:name w:val="toc 9"/>
    <w:basedOn w:val="Normal"/>
    <w:next w:val="Normal"/>
    <w:autoRedefine/>
    <w:uiPriority w:val="39"/>
    <w:unhideWhenUsed/>
    <w:rsid w:val="005B7A27"/>
    <w:pPr>
      <w:ind w:left="1600"/>
    </w:pPr>
    <w:rPr>
      <w:rFonts w:ascii="Calibri" w:hAnsi="Calibri"/>
    </w:rPr>
  </w:style>
  <w:style w:type="paragraph" w:styleId="TOCHeading">
    <w:name w:val="TOC Heading"/>
    <w:basedOn w:val="Heading1"/>
    <w:next w:val="Normal"/>
    <w:uiPriority w:val="39"/>
    <w:unhideWhenUsed/>
    <w:qFormat/>
    <w:rsid w:val="00FB0633"/>
    <w:pPr>
      <w:keepNext/>
      <w:keepLines/>
      <w:widowControl/>
      <w:autoSpaceDE/>
      <w:autoSpaceDN/>
      <w:adjustRightInd/>
      <w:spacing w:before="480" w:line="276" w:lineRule="auto"/>
      <w:outlineLvl w:val="9"/>
    </w:pPr>
    <w:rPr>
      <w:rFonts w:ascii="Calibri" w:hAnsi="Calibri" w:cs="Times New Roman"/>
      <w:b w:val="0"/>
      <w:bCs/>
      <w:color w:val="003B7C"/>
      <w:sz w:val="30"/>
      <w:szCs w:val="28"/>
    </w:rPr>
  </w:style>
  <w:style w:type="paragraph" w:customStyle="1" w:styleId="PRITOC1">
    <w:name w:val="PRI TOC 1"/>
    <w:basedOn w:val="TOC1"/>
    <w:link w:val="PRITOC1Char"/>
    <w:uiPriority w:val="10"/>
    <w:rsid w:val="005827D1"/>
    <w:rPr>
      <w:b/>
      <w:sz w:val="24"/>
    </w:rPr>
  </w:style>
  <w:style w:type="character" w:customStyle="1" w:styleId="TOC1Char">
    <w:name w:val="TOC 1 Char"/>
    <w:basedOn w:val="DefaultParagraphFont"/>
    <w:link w:val="TOC1"/>
    <w:uiPriority w:val="39"/>
    <w:rsid w:val="00482AC7"/>
    <w:rPr>
      <w:rFonts w:ascii="Arial" w:hAnsi="Arial" w:cs="Arial"/>
      <w:noProof/>
    </w:rPr>
  </w:style>
  <w:style w:type="character" w:customStyle="1" w:styleId="PRITOC1Char">
    <w:name w:val="PRI TOC 1 Char"/>
    <w:basedOn w:val="TOC1Char"/>
    <w:link w:val="PRITOC1"/>
    <w:uiPriority w:val="10"/>
    <w:rsid w:val="00FA4069"/>
    <w:rPr>
      <w:rFonts w:ascii="Arial" w:hAnsi="Arial" w:cs="Arial"/>
      <w:b/>
      <w:noProof/>
      <w:sz w:val="20"/>
      <w:szCs w:val="20"/>
    </w:rPr>
  </w:style>
  <w:style w:type="character" w:styleId="PageNumber">
    <w:name w:val="page number"/>
    <w:basedOn w:val="DefaultParagraphFont"/>
    <w:uiPriority w:val="99"/>
    <w:semiHidden/>
    <w:unhideWhenUsed/>
    <w:rsid w:val="0071094E"/>
  </w:style>
  <w:style w:type="table" w:styleId="MediumShading1-Accent3">
    <w:name w:val="Medium Shading 1 Accent 3"/>
    <w:basedOn w:val="TableNormal"/>
    <w:uiPriority w:val="63"/>
    <w:rsid w:val="00D30BA3"/>
    <w:tblPr>
      <w:tblStyleRowBandSize w:val="1"/>
      <w:tblStyleColBandSize w:val="1"/>
      <w:tblInd w:w="0" w:type="dxa"/>
      <w:tblBorders>
        <w:top w:val="single" w:sz="8" w:space="0" w:color="34C7FF"/>
        <w:left w:val="single" w:sz="8" w:space="0" w:color="34C7FF"/>
        <w:bottom w:val="single" w:sz="8" w:space="0" w:color="34C7FF"/>
        <w:right w:val="single" w:sz="8" w:space="0" w:color="34C7FF"/>
        <w:insideH w:val="single" w:sz="8" w:space="0" w:color="34C7FF"/>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34C7FF"/>
          <w:left w:val="single" w:sz="8" w:space="0" w:color="34C7FF"/>
          <w:bottom w:val="single" w:sz="8" w:space="0" w:color="34C7FF"/>
          <w:right w:val="single" w:sz="8" w:space="0" w:color="34C7FF"/>
          <w:insideH w:val="nil"/>
          <w:insideV w:val="nil"/>
        </w:tcBorders>
        <w:shd w:val="clear" w:color="auto" w:fill="00AFF0"/>
      </w:tcPr>
    </w:tblStylePr>
    <w:tblStylePr w:type="lastRow">
      <w:pPr>
        <w:spacing w:before="0" w:after="0" w:line="240" w:lineRule="auto"/>
      </w:pPr>
      <w:rPr>
        <w:b/>
        <w:bCs/>
      </w:rPr>
      <w:tblPr/>
      <w:tcPr>
        <w:tcBorders>
          <w:top w:val="double" w:sz="6" w:space="0" w:color="34C7FF"/>
          <w:left w:val="single" w:sz="8" w:space="0" w:color="34C7FF"/>
          <w:bottom w:val="single" w:sz="8" w:space="0" w:color="34C7FF"/>
          <w:right w:val="single" w:sz="8" w:space="0" w:color="34C7FF"/>
          <w:insideH w:val="nil"/>
          <w:insideV w:val="nil"/>
        </w:tcBorders>
      </w:tcPr>
    </w:tblStylePr>
    <w:tblStylePr w:type="firstCol">
      <w:rPr>
        <w:b/>
        <w:bCs/>
      </w:rPr>
    </w:tblStylePr>
    <w:tblStylePr w:type="lastCol">
      <w:rPr>
        <w:b/>
        <w:bCs/>
      </w:rPr>
    </w:tblStylePr>
    <w:tblStylePr w:type="band1Vert">
      <w:tblPr/>
      <w:tcPr>
        <w:shd w:val="clear" w:color="auto" w:fill="BCECFF"/>
      </w:tcPr>
    </w:tblStylePr>
    <w:tblStylePr w:type="band1Horz">
      <w:tblPr/>
      <w:tcPr>
        <w:tcBorders>
          <w:insideH w:val="nil"/>
          <w:insideV w:val="nil"/>
        </w:tcBorders>
        <w:shd w:val="clear" w:color="auto" w:fill="BCECFF"/>
      </w:tcPr>
    </w:tblStylePr>
    <w:tblStylePr w:type="band2Horz">
      <w:tblPr/>
      <w:tcPr>
        <w:tcBorders>
          <w:insideH w:val="nil"/>
          <w:insideV w:val="nil"/>
        </w:tcBorders>
      </w:tcPr>
    </w:tblStylePr>
  </w:style>
  <w:style w:type="table" w:customStyle="1" w:styleId="PRITable">
    <w:name w:val="PRI Table"/>
    <w:basedOn w:val="TableNormal"/>
    <w:uiPriority w:val="99"/>
    <w:rsid w:val="00CD3D0F"/>
    <w:pPr>
      <w:spacing w:before="240" w:after="120"/>
      <w:ind w:left="170" w:right="170"/>
    </w:pPr>
    <w:rPr>
      <w:rFonts w:ascii="Arial" w:hAnsi="Arial"/>
    </w:rPr>
    <w:tblPr>
      <w:tblInd w:w="0" w:type="dxa"/>
      <w:tblBorders>
        <w:top w:val="dashed" w:sz="4" w:space="0" w:color="A6A6A6" w:themeColor="background1" w:themeShade="A6"/>
        <w:left w:val="single" w:sz="8" w:space="0" w:color="FFFFFF" w:themeColor="background1"/>
        <w:bottom w:val="single" w:sz="8" w:space="0" w:color="FFFFFF" w:themeColor="background1"/>
        <w:right w:val="single" w:sz="8" w:space="0" w:color="FFFFFF" w:themeColor="background1"/>
        <w:insideH w:val="dashed" w:sz="4" w:space="0" w:color="808080" w:themeColor="background1" w:themeShade="80"/>
        <w:insideV w:val="dashed" w:sz="4" w:space="0" w:color="808080" w:themeColor="background1" w:themeShade="80"/>
      </w:tblBorders>
      <w:tblCellMar>
        <w:top w:w="113" w:type="dxa"/>
        <w:left w:w="0" w:type="dxa"/>
        <w:bottom w:w="113" w:type="dxa"/>
        <w:right w:w="0" w:type="dxa"/>
      </w:tblCellMar>
    </w:tblPr>
    <w:tcPr>
      <w:shd w:val="clear" w:color="auto" w:fill="auto"/>
      <w:tcMar>
        <w:top w:w="57" w:type="dxa"/>
        <w:bottom w:w="57" w:type="dxa"/>
      </w:tcMar>
      <w:vAlign w:val="center"/>
    </w:tcPr>
    <w:tblStylePr w:type="firstRow">
      <w:pPr>
        <w:wordWrap/>
        <w:spacing w:beforeLines="0" w:beforeAutospacing="0" w:afterLines="0" w:afterAutospacing="0" w:line="360" w:lineRule="auto"/>
        <w:ind w:leftChars="0" w:left="170" w:rightChars="0" w:right="170"/>
        <w:contextualSpacing/>
        <w:jc w:val="left"/>
      </w:pPr>
      <w:rPr>
        <w:rFonts w:ascii="Arial" w:hAnsi="Arial"/>
        <w:b/>
        <w:bCs/>
        <w:i w:val="0"/>
        <w:iCs w:val="0"/>
        <w:caps w:val="0"/>
        <w:smallCaps w:val="0"/>
        <w:strike w:val="0"/>
        <w:dstrike w:val="0"/>
        <w:vanish w:val="0"/>
        <w:color w:val="auto"/>
        <w:kern w:val="0"/>
        <w:sz w:val="24"/>
        <w:szCs w:val="24"/>
        <w:u w:val="none"/>
        <w:vertAlign w:val="baseline"/>
      </w:rPr>
      <w:tblPr/>
      <w:tcPr>
        <w:tcBorders>
          <w:top w:val="dashed" w:sz="4" w:space="0" w:color="FFFFFF" w:themeColor="background1"/>
          <w:left w:val="dashed" w:sz="4" w:space="0" w:color="FFFFFF" w:themeColor="background1"/>
          <w:bottom w:val="single" w:sz="18" w:space="0" w:color="0D74C8"/>
          <w:right w:val="dashed" w:sz="4" w:space="0" w:color="FFFFFF" w:themeColor="background1"/>
          <w:insideH w:val="nil"/>
          <w:insideV w:val="dashed" w:sz="4" w:space="0" w:color="1159BE"/>
          <w:tl2br w:val="nil"/>
          <w:tr2bl w:val="nil"/>
        </w:tcBorders>
        <w:shd w:val="clear" w:color="auto" w:fill="auto"/>
      </w:tcPr>
    </w:tblStylePr>
    <w:tblStylePr w:type="firstCol">
      <w:rPr>
        <w:rFonts w:ascii="Arial" w:hAnsi="Arial"/>
        <w:b w:val="0"/>
        <w:i w:val="0"/>
        <w:sz w:val="20"/>
      </w:rPr>
    </w:tblStylePr>
  </w:style>
  <w:style w:type="paragraph" w:styleId="NormalWeb">
    <w:name w:val="Normal (Web)"/>
    <w:basedOn w:val="Normal"/>
    <w:uiPriority w:val="99"/>
    <w:semiHidden/>
    <w:unhideWhenUsed/>
    <w:rsid w:val="00A63E5B"/>
    <w:pPr>
      <w:widowControl/>
      <w:autoSpaceDE/>
      <w:autoSpaceDN/>
      <w:adjustRightInd/>
      <w:spacing w:before="100" w:beforeAutospacing="1" w:after="100" w:afterAutospacing="1" w:line="240" w:lineRule="auto"/>
    </w:pPr>
    <w:rPr>
      <w:rFonts w:ascii="Times" w:hAnsi="Times" w:cs="Times New Roman"/>
    </w:rPr>
  </w:style>
  <w:style w:type="table" w:styleId="TableGrid">
    <w:name w:val="Table Grid"/>
    <w:basedOn w:val="TableNormal"/>
    <w:uiPriority w:val="99"/>
    <w:rsid w:val="00F350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6">
    <w:name w:val="Light Shading Accent 6"/>
    <w:basedOn w:val="TableNormal"/>
    <w:uiPriority w:val="60"/>
    <w:rsid w:val="00F35021"/>
    <w:rPr>
      <w:color w:val="8F8F8F"/>
    </w:rPr>
    <w:tblPr>
      <w:tblStyleRowBandSize w:val="1"/>
      <w:tblStyleColBandSize w:val="1"/>
      <w:tblInd w:w="0" w:type="dxa"/>
      <w:tblBorders>
        <w:top w:val="single" w:sz="8" w:space="0" w:color="BFBFBF"/>
        <w:bottom w:val="single" w:sz="8" w:space="0" w:color="BFBFBF"/>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BFBFBF"/>
          <w:left w:val="nil"/>
          <w:bottom w:val="single" w:sz="8" w:space="0" w:color="BFBFBF"/>
          <w:right w:val="nil"/>
          <w:insideH w:val="nil"/>
          <w:insideV w:val="nil"/>
        </w:tcBorders>
      </w:tcPr>
    </w:tblStylePr>
    <w:tblStylePr w:type="lastRow">
      <w:pPr>
        <w:spacing w:before="0" w:after="0" w:line="240" w:lineRule="auto"/>
      </w:pPr>
      <w:rPr>
        <w:b/>
        <w:bCs/>
      </w:rPr>
      <w:tblPr/>
      <w:tcPr>
        <w:tcBorders>
          <w:top w:val="single" w:sz="8" w:space="0" w:color="BFBFBF"/>
          <w:left w:val="nil"/>
          <w:bottom w:val="single" w:sz="8" w:space="0" w:color="BFBFBF"/>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EFEF"/>
      </w:tcPr>
    </w:tblStylePr>
    <w:tblStylePr w:type="band1Horz">
      <w:tblPr/>
      <w:tcPr>
        <w:tcBorders>
          <w:left w:val="nil"/>
          <w:right w:val="nil"/>
          <w:insideH w:val="nil"/>
          <w:insideV w:val="nil"/>
        </w:tcBorders>
        <w:shd w:val="clear" w:color="auto" w:fill="EFEFEF"/>
      </w:tcPr>
    </w:tblStylePr>
  </w:style>
  <w:style w:type="paragraph" w:styleId="BalloonText">
    <w:name w:val="Balloon Text"/>
    <w:basedOn w:val="Normal"/>
    <w:link w:val="BalloonTextChar"/>
    <w:uiPriority w:val="99"/>
    <w:semiHidden/>
    <w:unhideWhenUsed/>
    <w:rsid w:val="0066596D"/>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6596D"/>
    <w:rPr>
      <w:rFonts w:ascii="Lucida Grande" w:hAnsi="Lucida Grande" w:cs="Lucida Grande"/>
      <w:sz w:val="18"/>
      <w:szCs w:val="18"/>
    </w:rPr>
  </w:style>
  <w:style w:type="numbering" w:customStyle="1" w:styleId="PRINumbering">
    <w:name w:val="PRI Numbering"/>
    <w:basedOn w:val="NoList"/>
    <w:uiPriority w:val="99"/>
    <w:rsid w:val="003513E0"/>
    <w:pPr>
      <w:numPr>
        <w:numId w:val="7"/>
      </w:numPr>
    </w:pPr>
  </w:style>
  <w:style w:type="paragraph" w:styleId="ListNumber">
    <w:name w:val="List Number"/>
    <w:basedOn w:val="Normal"/>
    <w:autoRedefine/>
    <w:uiPriority w:val="99"/>
    <w:semiHidden/>
    <w:unhideWhenUsed/>
    <w:rsid w:val="00F52AC9"/>
    <w:pPr>
      <w:numPr>
        <w:numId w:val="2"/>
      </w:numPr>
      <w:contextualSpacing/>
    </w:pPr>
  </w:style>
  <w:style w:type="paragraph" w:styleId="ListNumber2">
    <w:name w:val="List Number 2"/>
    <w:basedOn w:val="Normal"/>
    <w:autoRedefine/>
    <w:uiPriority w:val="99"/>
    <w:semiHidden/>
    <w:unhideWhenUsed/>
    <w:rsid w:val="00F52AC9"/>
    <w:pPr>
      <w:numPr>
        <w:numId w:val="3"/>
      </w:numPr>
      <w:contextualSpacing/>
    </w:pPr>
  </w:style>
  <w:style w:type="paragraph" w:styleId="ListNumber3">
    <w:name w:val="List Number 3"/>
    <w:basedOn w:val="Normal"/>
    <w:autoRedefine/>
    <w:uiPriority w:val="99"/>
    <w:semiHidden/>
    <w:unhideWhenUsed/>
    <w:rsid w:val="00F52AC9"/>
    <w:pPr>
      <w:numPr>
        <w:numId w:val="4"/>
      </w:numPr>
      <w:contextualSpacing/>
    </w:pPr>
  </w:style>
  <w:style w:type="paragraph" w:styleId="ListNumber4">
    <w:name w:val="List Number 4"/>
    <w:basedOn w:val="Normal"/>
    <w:autoRedefine/>
    <w:uiPriority w:val="99"/>
    <w:semiHidden/>
    <w:unhideWhenUsed/>
    <w:rsid w:val="00F52AC9"/>
    <w:pPr>
      <w:numPr>
        <w:numId w:val="5"/>
      </w:numPr>
      <w:contextualSpacing/>
    </w:pPr>
  </w:style>
  <w:style w:type="paragraph" w:styleId="ListNumber5">
    <w:name w:val="List Number 5"/>
    <w:basedOn w:val="Normal"/>
    <w:autoRedefine/>
    <w:uiPriority w:val="99"/>
    <w:unhideWhenUsed/>
    <w:rsid w:val="00F52AC9"/>
    <w:pPr>
      <w:numPr>
        <w:numId w:val="6"/>
      </w:numPr>
      <w:contextualSpacing/>
    </w:pPr>
  </w:style>
  <w:style w:type="character" w:customStyle="1" w:styleId="Heading5Char">
    <w:name w:val="Heading 5 Char"/>
    <w:basedOn w:val="DefaultParagraphFont"/>
    <w:uiPriority w:val="19"/>
    <w:semiHidden/>
    <w:rsid w:val="003513E0"/>
    <w:rPr>
      <w:rFonts w:asciiTheme="majorHAnsi" w:eastAsiaTheme="majorEastAsia" w:hAnsiTheme="majorHAnsi" w:cstheme="majorBidi"/>
      <w:color w:val="243F60" w:themeColor="accent1" w:themeShade="7F"/>
      <w:sz w:val="22"/>
      <w:lang w:val="en-US"/>
    </w:rPr>
  </w:style>
  <w:style w:type="character" w:customStyle="1" w:styleId="Heading6Char">
    <w:name w:val="Heading 6 Char"/>
    <w:basedOn w:val="DefaultParagraphFont"/>
    <w:uiPriority w:val="19"/>
    <w:semiHidden/>
    <w:rsid w:val="003513E0"/>
    <w:rPr>
      <w:rFonts w:asciiTheme="majorHAnsi" w:eastAsiaTheme="majorEastAsia" w:hAnsiTheme="majorHAnsi" w:cstheme="majorBidi"/>
      <w:i/>
      <w:iCs/>
      <w:color w:val="243F60" w:themeColor="accent1" w:themeShade="7F"/>
      <w:sz w:val="22"/>
      <w:lang w:val="en-US"/>
    </w:rPr>
  </w:style>
  <w:style w:type="character" w:customStyle="1" w:styleId="Heading7Char">
    <w:name w:val="Heading 7 Char"/>
    <w:basedOn w:val="DefaultParagraphFont"/>
    <w:uiPriority w:val="19"/>
    <w:semiHidden/>
    <w:rsid w:val="003513E0"/>
    <w:rPr>
      <w:rFonts w:asciiTheme="majorHAnsi" w:eastAsiaTheme="majorEastAsia" w:hAnsiTheme="majorHAnsi" w:cstheme="majorBidi"/>
      <w:i/>
      <w:iCs/>
      <w:color w:val="404040" w:themeColor="text1" w:themeTint="BF"/>
      <w:sz w:val="22"/>
      <w:lang w:val="en-US"/>
    </w:rPr>
  </w:style>
  <w:style w:type="character" w:customStyle="1" w:styleId="Heading8Char">
    <w:name w:val="Heading 8 Char"/>
    <w:basedOn w:val="DefaultParagraphFont"/>
    <w:uiPriority w:val="19"/>
    <w:semiHidden/>
    <w:rsid w:val="003513E0"/>
    <w:rPr>
      <w:rFonts w:asciiTheme="majorHAnsi" w:eastAsiaTheme="majorEastAsia" w:hAnsiTheme="majorHAnsi" w:cstheme="majorBidi"/>
      <w:color w:val="404040" w:themeColor="text1" w:themeTint="BF"/>
      <w:lang w:val="en-US"/>
    </w:rPr>
  </w:style>
  <w:style w:type="character" w:customStyle="1" w:styleId="Heading9Char">
    <w:name w:val="Heading 9 Char"/>
    <w:basedOn w:val="DefaultParagraphFont"/>
    <w:uiPriority w:val="19"/>
    <w:semiHidden/>
    <w:rsid w:val="003513E0"/>
    <w:rPr>
      <w:rFonts w:asciiTheme="majorHAnsi" w:eastAsiaTheme="majorEastAsia" w:hAnsiTheme="majorHAnsi" w:cstheme="majorBidi"/>
      <w:i/>
      <w:iCs/>
      <w:color w:val="404040" w:themeColor="text1" w:themeTint="BF"/>
      <w:lang w:val="en-US"/>
    </w:rPr>
  </w:style>
  <w:style w:type="table" w:styleId="MediumList1-Accent6">
    <w:name w:val="Medium List 1 Accent 6"/>
    <w:basedOn w:val="TableNormal"/>
    <w:uiPriority w:val="19"/>
    <w:rsid w:val="00E966DD"/>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Accent6">
    <w:name w:val="Medium List 2 Accent 6"/>
    <w:basedOn w:val="TableNormal"/>
    <w:uiPriority w:val="21"/>
    <w:rsid w:val="00E966D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ColorfulGrid1">
    <w:name w:val="Colorful Grid1"/>
    <w:basedOn w:val="TableNormal"/>
    <w:uiPriority w:val="29"/>
    <w:qFormat/>
    <w:rsid w:val="00E966D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LightShading-Accent11">
    <w:name w:val="Light Shading - Accent 11"/>
    <w:basedOn w:val="TableNormal"/>
    <w:uiPriority w:val="30"/>
    <w:rsid w:val="00E966DD"/>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MediumGrid1-Accent6">
    <w:name w:val="Medium Grid 1 Accent 6"/>
    <w:basedOn w:val="TableNormal"/>
    <w:uiPriority w:val="31"/>
    <w:rsid w:val="00E966DD"/>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ColorfulList1">
    <w:name w:val="Colorful List1"/>
    <w:basedOn w:val="TableNormal"/>
    <w:uiPriority w:val="34"/>
    <w:qFormat/>
    <w:rsid w:val="00E966D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MediumGrid1-Accent2">
    <w:name w:val="Medium Grid 1 Accent 2"/>
    <w:basedOn w:val="TableNormal"/>
    <w:uiPriority w:val="62"/>
    <w:rsid w:val="00E966D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1">
    <w:name w:val="Medium Grid 1 Accent 1"/>
    <w:basedOn w:val="TableNormal"/>
    <w:uiPriority w:val="62"/>
    <w:rsid w:val="00E966DD"/>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MediumGrid11">
    <w:name w:val="Medium Grid 11"/>
    <w:basedOn w:val="TableNormal"/>
    <w:uiPriority w:val="62"/>
    <w:rsid w:val="00E966DD"/>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List2-Accent5">
    <w:name w:val="Medium List 2 Accent 5"/>
    <w:basedOn w:val="TableNormal"/>
    <w:uiPriority w:val="61"/>
    <w:rsid w:val="00E966DD"/>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PRITable2">
    <w:name w:val="PRI Table 2"/>
    <w:basedOn w:val="TableNormal"/>
    <w:uiPriority w:val="99"/>
    <w:rsid w:val="00F02E05"/>
    <w:pPr>
      <w:ind w:left="170" w:right="170"/>
    </w:pPr>
    <w:rPr>
      <w:rFonts w:ascii="Arial" w:hAnsi="Arial"/>
    </w:rPr>
    <w:tblPr>
      <w:tblInd w:w="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13" w:type="dxa"/>
        <w:left w:w="0" w:type="dxa"/>
        <w:bottom w:w="113" w:type="dxa"/>
        <w:right w:w="0" w:type="dxa"/>
      </w:tblCellMar>
    </w:tblPr>
    <w:tcPr>
      <w:tcMar>
        <w:top w:w="57" w:type="dxa"/>
        <w:bottom w:w="57" w:type="dxa"/>
      </w:tcMar>
    </w:tcPr>
    <w:tblStylePr w:type="firstRow">
      <w:pPr>
        <w:wordWrap/>
        <w:spacing w:beforeLines="0" w:beforeAutospacing="0" w:afterLines="0" w:afterAutospacing="0"/>
        <w:ind w:leftChars="0" w:left="170" w:rightChars="0" w:right="170"/>
        <w:jc w:val="left"/>
      </w:pPr>
      <w:rPr>
        <w:rFonts w:ascii="Arial" w:hAnsi="Arial"/>
        <w:b/>
        <w:bCs/>
        <w:i w:val="0"/>
        <w:iCs w:val="0"/>
        <w:caps w:val="0"/>
        <w:smallCaps w:val="0"/>
        <w:strike w:val="0"/>
        <w:dstrike w:val="0"/>
        <w:vanish w:val="0"/>
        <w:color w:val="FFFFFF" w:themeColor="background1"/>
        <w:kern w:val="0"/>
        <w:sz w:val="24"/>
        <w:szCs w:val="24"/>
        <w:vertAlign w:val="baseline"/>
      </w:rPr>
      <w:tblPr/>
      <w:tcPr>
        <w:tcBorders>
          <w:top w:val="single" w:sz="4" w:space="0" w:color="808080"/>
          <w:left w:val="single" w:sz="4" w:space="0" w:color="808080"/>
          <w:bottom w:val="single" w:sz="4" w:space="0" w:color="808080"/>
          <w:right w:val="single" w:sz="4" w:space="0" w:color="808080"/>
          <w:insideH w:val="single" w:sz="4" w:space="0" w:color="808080"/>
          <w:insideV w:val="single" w:sz="4" w:space="0" w:color="FFFFFF"/>
        </w:tcBorders>
        <w:shd w:val="clear" w:color="auto" w:fill="1875C1"/>
      </w:tcPr>
    </w:tblStylePr>
    <w:tblStylePr w:type="firstCol">
      <w:rPr>
        <w:rFonts w:ascii="Arial" w:hAnsi="Arial"/>
        <w:b w:val="0"/>
        <w:i w:val="0"/>
        <w:sz w:val="20"/>
      </w:rPr>
    </w:tblStylePr>
  </w:style>
  <w:style w:type="character" w:styleId="Hyperlink">
    <w:name w:val="Hyperlink"/>
    <w:basedOn w:val="DefaultParagraphFont"/>
    <w:uiPriority w:val="99"/>
    <w:rsid w:val="009C1D27"/>
    <w:rPr>
      <w:rFonts w:cs="Times New Roman"/>
      <w:color w:val="0000FF"/>
      <w:u w:val="single"/>
    </w:rPr>
  </w:style>
  <w:style w:type="character" w:styleId="CommentReference">
    <w:name w:val="annotation reference"/>
    <w:basedOn w:val="DefaultParagraphFont"/>
    <w:uiPriority w:val="99"/>
    <w:semiHidden/>
    <w:unhideWhenUsed/>
    <w:rsid w:val="009C1D27"/>
    <w:rPr>
      <w:sz w:val="16"/>
      <w:szCs w:val="16"/>
    </w:rPr>
  </w:style>
  <w:style w:type="paragraph" w:styleId="CommentText">
    <w:name w:val="annotation text"/>
    <w:basedOn w:val="Normal"/>
    <w:link w:val="CommentTextChar"/>
    <w:uiPriority w:val="99"/>
    <w:unhideWhenUsed/>
    <w:rsid w:val="009C1D27"/>
    <w:pPr>
      <w:spacing w:line="240" w:lineRule="auto"/>
    </w:pPr>
  </w:style>
  <w:style w:type="character" w:customStyle="1" w:styleId="CommentTextChar">
    <w:name w:val="Comment Text Char"/>
    <w:basedOn w:val="DefaultParagraphFont"/>
    <w:link w:val="CommentText"/>
    <w:uiPriority w:val="99"/>
    <w:rsid w:val="009C1D27"/>
    <w:rPr>
      <w:rFonts w:ascii="Arial" w:hAnsi="Arial" w:cs="Arial"/>
    </w:rPr>
  </w:style>
  <w:style w:type="paragraph" w:styleId="CommentSubject">
    <w:name w:val="annotation subject"/>
    <w:basedOn w:val="CommentText"/>
    <w:next w:val="CommentText"/>
    <w:link w:val="CommentSubjectChar"/>
    <w:uiPriority w:val="99"/>
    <w:semiHidden/>
    <w:unhideWhenUsed/>
    <w:rsid w:val="009C1D27"/>
    <w:rPr>
      <w:b/>
      <w:bCs/>
    </w:rPr>
  </w:style>
  <w:style w:type="character" w:customStyle="1" w:styleId="CommentSubjectChar">
    <w:name w:val="Comment Subject Char"/>
    <w:basedOn w:val="CommentTextChar"/>
    <w:link w:val="CommentSubject"/>
    <w:uiPriority w:val="99"/>
    <w:semiHidden/>
    <w:rsid w:val="009C1D27"/>
    <w:rPr>
      <w:rFonts w:ascii="Arial" w:hAnsi="Arial" w:cs="Arial"/>
      <w:b/>
      <w:bCs/>
    </w:rPr>
  </w:style>
  <w:style w:type="paragraph" w:customStyle="1" w:styleId="ModuleSectionName">
    <w:name w:val="Module Section Name"/>
    <w:qFormat/>
    <w:rsid w:val="009C1D27"/>
    <w:pPr>
      <w:spacing w:before="20" w:after="120"/>
      <w:ind w:left="170"/>
    </w:pPr>
    <w:rPr>
      <w:rFonts w:ascii="Arial" w:hAnsi="Arial"/>
      <w:b/>
      <w:bCs/>
      <w:color w:val="008CC8"/>
      <w:sz w:val="28"/>
      <w:szCs w:val="26"/>
      <w:lang w:val="en-US" w:bidi="he-IL"/>
    </w:rPr>
  </w:style>
  <w:style w:type="table" w:customStyle="1" w:styleId="SectionHeader">
    <w:name w:val="Section Header"/>
    <w:basedOn w:val="TableNormal"/>
    <w:uiPriority w:val="99"/>
    <w:rsid w:val="009C1D27"/>
    <w:pPr>
      <w:spacing w:before="80" w:after="80"/>
      <w:ind w:left="170"/>
    </w:pPr>
    <w:rPr>
      <w:rFonts w:ascii="Arial" w:eastAsia="Times New Roman" w:hAnsi="Arial" w:cs="Arial"/>
      <w:b/>
      <w:color w:val="595959"/>
      <w:sz w:val="16"/>
      <w:szCs w:val="14"/>
      <w:lang w:eastAsia="en-GB"/>
    </w:rPr>
    <w:tblPr>
      <w:tblInd w:w="0" w:type="dxa"/>
      <w:tblBorders>
        <w:bottom w:val="single" w:sz="4" w:space="0" w:color="585858"/>
      </w:tblBorders>
      <w:tblCellMar>
        <w:top w:w="113" w:type="dxa"/>
        <w:left w:w="0" w:type="dxa"/>
        <w:bottom w:w="0" w:type="dxa"/>
        <w:right w:w="108" w:type="dxa"/>
      </w:tblCellMar>
    </w:tblPr>
    <w:tcPr>
      <w:shd w:val="clear" w:color="auto" w:fill="E7E7E7"/>
    </w:tcPr>
    <w:tblStylePr w:type="firstRow">
      <w:pPr>
        <w:wordWrap/>
        <w:spacing w:beforeLines="0" w:beforeAutospacing="0" w:afterLines="0" w:afterAutospacing="0"/>
        <w:ind w:leftChars="0" w:left="170" w:firstLineChars="0" w:firstLine="0"/>
      </w:pPr>
      <w:rPr>
        <w:rFonts w:ascii="Arial" w:hAnsi="Arial"/>
        <w:b/>
        <w:i w:val="0"/>
        <w:sz w:val="16"/>
      </w:rPr>
    </w:tblStylePr>
    <w:tblStylePr w:type="lastRow">
      <w:pPr>
        <w:wordWrap/>
        <w:spacing w:beforeLines="0" w:beforeAutospacing="0" w:afterLines="0" w:afterAutospacing="0"/>
        <w:ind w:leftChars="0" w:left="170" w:firstLineChars="0" w:firstLine="0"/>
      </w:pPr>
      <w:rPr>
        <w:rFonts w:ascii="Arial" w:hAnsi="Arial"/>
        <w:b/>
        <w:bCs/>
        <w:i w:val="0"/>
        <w:iCs w:val="0"/>
        <w:color w:val="0082C8"/>
        <w:sz w:val="32"/>
        <w:szCs w:val="32"/>
      </w:rPr>
    </w:tblStylePr>
  </w:style>
  <w:style w:type="paragraph" w:customStyle="1" w:styleId="SectionIndicatorHeaderText">
    <w:name w:val="Section Indicator Header Text"/>
    <w:basedOn w:val="Normal"/>
    <w:qFormat/>
    <w:rsid w:val="00356CDA"/>
    <w:pPr>
      <w:widowControl/>
      <w:autoSpaceDE/>
      <w:autoSpaceDN/>
      <w:adjustRightInd/>
      <w:spacing w:before="60" w:after="120" w:line="240" w:lineRule="auto"/>
      <w:ind w:left="170"/>
    </w:pPr>
    <w:rPr>
      <w:rFonts w:eastAsia="Times New Roman"/>
      <w:color w:val="FFFFFF" w:themeColor="background1"/>
    </w:rPr>
  </w:style>
  <w:style w:type="table" w:customStyle="1" w:styleId="SubSectionIndicatorHeaderVOLUNTARY">
    <w:name w:val="Sub Section Indicator Header VOLUNTARY"/>
    <w:basedOn w:val="TableNormal"/>
    <w:uiPriority w:val="99"/>
    <w:rsid w:val="00356CDA"/>
    <w:pPr>
      <w:spacing w:before="60" w:after="120"/>
      <w:ind w:left="170"/>
    </w:pPr>
    <w:rPr>
      <w:rFonts w:ascii="Arial" w:eastAsia="Times New Roman" w:hAnsi="Arial" w:cs="Arial"/>
      <w:color w:val="FFFFFF" w:themeColor="background1"/>
      <w:sz w:val="18"/>
      <w:lang w:eastAsia="en-GB"/>
    </w:rPr>
    <w:tblPr>
      <w:tblInd w:w="567" w:type="dxa"/>
      <w:tblBorders>
        <w:insideV w:val="single" w:sz="4" w:space="0" w:color="FFFFFF" w:themeColor="background1"/>
      </w:tblBorders>
      <w:tblCellMar>
        <w:top w:w="0" w:type="dxa"/>
        <w:left w:w="0" w:type="dxa"/>
        <w:bottom w:w="0" w:type="dxa"/>
        <w:right w:w="108" w:type="dxa"/>
      </w:tblCellMar>
    </w:tblPr>
    <w:tcPr>
      <w:shd w:val="clear" w:color="auto" w:fill="808080"/>
    </w:tcPr>
    <w:tblStylePr w:type="firstRow">
      <w:pPr>
        <w:wordWrap/>
        <w:spacing w:beforeLines="0" w:beforeAutospacing="0" w:afterLines="0" w:afterAutospacing="0"/>
        <w:ind w:leftChars="0" w:left="170" w:firstLineChars="0" w:firstLine="0"/>
        <w:jc w:val="left"/>
      </w:pPr>
      <w:rPr>
        <w:rFonts w:ascii="Arial" w:hAnsi="Arial"/>
        <w:b w:val="0"/>
        <w:bCs w:val="0"/>
        <w:i w:val="0"/>
        <w:iCs w:val="0"/>
        <w:sz w:val="14"/>
        <w:szCs w:val="14"/>
      </w:rPr>
    </w:tblStylePr>
    <w:tblStylePr w:type="lastRow">
      <w:pPr>
        <w:wordWrap/>
        <w:spacing w:beforeLines="0" w:beforeAutospacing="0" w:afterLines="0" w:afterAutospacing="0"/>
        <w:ind w:leftChars="0" w:left="170" w:firstLineChars="0" w:firstLine="0"/>
      </w:pPr>
      <w:rPr>
        <w:rFonts w:ascii="Arial" w:hAnsi="Arial"/>
        <w:b/>
        <w:i w:val="0"/>
        <w:color w:val="FFFFFF" w:themeColor="background1"/>
        <w:sz w:val="20"/>
      </w:rPr>
    </w:tblStylePr>
    <w:tblStylePr w:type="firstCol">
      <w:tblPr/>
      <w:tcPr>
        <w:shd w:val="clear" w:color="auto" w:fill="5A5A5A"/>
      </w:tcPr>
    </w:tblStylePr>
    <w:tblStylePr w:type="lastCol">
      <w:tblPr/>
      <w:tcPr>
        <w:shd w:val="clear" w:color="auto" w:fill="808080"/>
      </w:tcPr>
    </w:tblStylePr>
  </w:style>
  <w:style w:type="table" w:customStyle="1" w:styleId="SubSectionIndicatorHeaderMANDATORY">
    <w:name w:val="Sub Section Indicator Header MANDATORY"/>
    <w:basedOn w:val="TableNormal"/>
    <w:uiPriority w:val="99"/>
    <w:rsid w:val="00356CDA"/>
    <w:pPr>
      <w:spacing w:before="60" w:after="120"/>
      <w:ind w:left="170"/>
    </w:pPr>
    <w:rPr>
      <w:rFonts w:ascii="Arial" w:eastAsia="Times New Roman" w:hAnsi="Arial" w:cs="Arial"/>
      <w:color w:val="FFFFFF" w:themeColor="background1"/>
      <w:sz w:val="18"/>
      <w:lang w:eastAsia="en-GB"/>
    </w:rPr>
    <w:tblPr>
      <w:tblInd w:w="567" w:type="dxa"/>
      <w:tblBorders>
        <w:insideV w:val="single" w:sz="4" w:space="0" w:color="FFFFFF" w:themeColor="background1"/>
      </w:tblBorders>
      <w:tblCellMar>
        <w:top w:w="0" w:type="dxa"/>
        <w:left w:w="0" w:type="dxa"/>
        <w:bottom w:w="0" w:type="dxa"/>
        <w:right w:w="108" w:type="dxa"/>
      </w:tblCellMar>
    </w:tblPr>
    <w:tcPr>
      <w:shd w:val="clear" w:color="auto" w:fill="0082C8"/>
    </w:tcPr>
    <w:tblStylePr w:type="firstRow">
      <w:pPr>
        <w:wordWrap/>
        <w:spacing w:beforeLines="0" w:beforeAutospacing="0" w:afterLines="0" w:afterAutospacing="0"/>
        <w:ind w:leftChars="0" w:left="170" w:firstLineChars="0" w:firstLine="0"/>
        <w:jc w:val="left"/>
      </w:pPr>
      <w:rPr>
        <w:rFonts w:ascii="Arial" w:hAnsi="Arial"/>
        <w:b w:val="0"/>
        <w:bCs w:val="0"/>
        <w:i w:val="0"/>
        <w:iCs w:val="0"/>
        <w:sz w:val="14"/>
        <w:szCs w:val="14"/>
      </w:rPr>
    </w:tblStylePr>
    <w:tblStylePr w:type="lastRow">
      <w:pPr>
        <w:wordWrap/>
        <w:spacing w:beforeLines="0" w:beforeAutospacing="0" w:afterLines="0" w:afterAutospacing="0"/>
        <w:ind w:leftChars="0" w:left="170" w:firstLineChars="0" w:firstLine="0"/>
      </w:pPr>
      <w:rPr>
        <w:rFonts w:ascii="Arial" w:hAnsi="Arial"/>
        <w:b/>
        <w:i w:val="0"/>
        <w:color w:val="FFFFFF" w:themeColor="background1"/>
        <w:sz w:val="20"/>
      </w:rPr>
    </w:tblStylePr>
    <w:tblStylePr w:type="firstCol">
      <w:tblPr/>
      <w:tcPr>
        <w:shd w:val="clear" w:color="auto" w:fill="00AAF0"/>
      </w:tcPr>
    </w:tblStylePr>
    <w:tblStylePr w:type="lastCol">
      <w:tblPr/>
      <w:tcPr>
        <w:shd w:val="clear" w:color="auto" w:fill="0082C8"/>
      </w:tcPr>
    </w:tblStylePr>
  </w:style>
  <w:style w:type="paragraph" w:customStyle="1" w:styleId="SectionIndicatorHeaderBOLD">
    <w:name w:val="Section Indicator Header BOLD"/>
    <w:basedOn w:val="SectionIndicatorHeaderText"/>
    <w:qFormat/>
    <w:rsid w:val="00356CDA"/>
    <w:rPr>
      <w:b/>
    </w:rPr>
  </w:style>
  <w:style w:type="paragraph" w:customStyle="1" w:styleId="INDICATORNUMBER">
    <w:name w:val="INDICATOR NUMBER"/>
    <w:basedOn w:val="Normal"/>
    <w:qFormat/>
    <w:rsid w:val="00356CDA"/>
    <w:pPr>
      <w:widowControl/>
      <w:autoSpaceDE/>
      <w:autoSpaceDN/>
      <w:adjustRightInd/>
      <w:spacing w:after="120" w:line="240" w:lineRule="auto"/>
      <w:ind w:left="170"/>
    </w:pPr>
    <w:rPr>
      <w:rFonts w:eastAsia="Times New Roman"/>
      <w:b/>
      <w:color w:val="595959"/>
      <w:sz w:val="18"/>
      <w:szCs w:val="18"/>
    </w:rPr>
  </w:style>
  <w:style w:type="paragraph" w:customStyle="1" w:styleId="INDICATORTEXT">
    <w:name w:val="INDICATOR TEXT"/>
    <w:qFormat/>
    <w:rsid w:val="00356CDA"/>
    <w:pPr>
      <w:spacing w:before="80" w:after="120"/>
      <w:ind w:left="170"/>
    </w:pPr>
    <w:rPr>
      <w:rFonts w:ascii="Arial" w:eastAsia="Times New Roman" w:hAnsi="Arial" w:cs="Arial"/>
      <w:color w:val="595959"/>
      <w:sz w:val="18"/>
    </w:rPr>
  </w:style>
  <w:style w:type="table" w:customStyle="1" w:styleId="SubSubSectionIndicatorTableMANDATORY">
    <w:name w:val="Sub Sub Section Indicator Table MANDATORY"/>
    <w:basedOn w:val="TableNormal"/>
    <w:uiPriority w:val="99"/>
    <w:rsid w:val="00356CDA"/>
    <w:pPr>
      <w:spacing w:before="80" w:after="80"/>
      <w:ind w:left="170"/>
    </w:pPr>
    <w:rPr>
      <w:rFonts w:eastAsia="Times New Roman" w:cs="Arial"/>
      <w:lang w:eastAsia="en-GB"/>
    </w:rPr>
    <w:tblPr>
      <w:tblStyleRowBandSize w:val="1"/>
      <w:tblInd w:w="1134" w:type="dxa"/>
      <w:tblBorders>
        <w:top w:val="single" w:sz="4" w:space="0" w:color="0082C8"/>
        <w:left w:val="single" w:sz="4" w:space="0" w:color="0082C8"/>
        <w:bottom w:val="single" w:sz="4" w:space="0" w:color="0082C8"/>
        <w:right w:val="single" w:sz="4" w:space="0" w:color="0082C8"/>
      </w:tblBorders>
      <w:tblCellMar>
        <w:top w:w="0" w:type="dxa"/>
        <w:left w:w="0" w:type="dxa"/>
        <w:bottom w:w="0" w:type="dxa"/>
        <w:right w:w="108" w:type="dxa"/>
      </w:tblCellMar>
    </w:tblPr>
    <w:tcPr>
      <w:vAlign w:val="center"/>
    </w:tcPr>
    <w:tblStylePr w:type="firstRow">
      <w:pPr>
        <w:wordWrap/>
        <w:spacing w:beforeLines="0" w:beforeAutospacing="0" w:afterLines="0" w:afterAutospacing="0"/>
        <w:ind w:leftChars="0" w:left="170" w:firstLineChars="0" w:firstLine="0"/>
      </w:pPr>
      <w:rPr>
        <w:rFonts w:ascii="Arial" w:hAnsi="Arial"/>
        <w:b w:val="0"/>
        <w:bCs w:val="0"/>
        <w:i w:val="0"/>
        <w:iCs w:val="0"/>
        <w:color w:val="FFFFFF" w:themeColor="background1"/>
        <w:sz w:val="18"/>
        <w:szCs w:val="18"/>
      </w:rPr>
      <w:tblPr/>
      <w:tcPr>
        <w:tcBorders>
          <w:bottom w:val="single" w:sz="4" w:space="0" w:color="0082C8"/>
          <w:insideV w:val="single" w:sz="4" w:space="0" w:color="FFFFFF" w:themeColor="background1"/>
        </w:tcBorders>
        <w:shd w:val="clear" w:color="auto" w:fill="0082C8"/>
      </w:tcPr>
    </w:tblStylePr>
    <w:tblStylePr w:type="firstCol">
      <w:tblPr/>
      <w:tcPr>
        <w:tcBorders>
          <w:right w:val="single" w:sz="4" w:space="0" w:color="5A5A5A"/>
        </w:tcBorders>
        <w:shd w:val="clear" w:color="auto" w:fill="E7E7E7"/>
      </w:tcPr>
    </w:tblStylePr>
    <w:tblStylePr w:type="band1Horz">
      <w:tblPr/>
      <w:tcPr>
        <w:tcBorders>
          <w:top w:val="single" w:sz="12" w:space="0" w:color="005DAA"/>
          <w:bottom w:val="nil"/>
        </w:tcBorders>
        <w:shd w:val="clear" w:color="auto" w:fill="BBD5E9"/>
      </w:tcPr>
    </w:tblStylePr>
    <w:tblStylePr w:type="nwCell">
      <w:tblPr/>
      <w:tcPr>
        <w:tcBorders>
          <w:bottom w:val="single" w:sz="4" w:space="0" w:color="00AAF0"/>
        </w:tcBorders>
        <w:shd w:val="clear" w:color="auto" w:fill="00AAF0"/>
      </w:tcPr>
    </w:tblStylePr>
  </w:style>
  <w:style w:type="paragraph" w:customStyle="1" w:styleId="INDICATORTEXTOPTIONAL">
    <w:name w:val="INDICATOR TEXT OPTIONAL"/>
    <w:basedOn w:val="INDICATORTEXT"/>
    <w:qFormat/>
    <w:rsid w:val="00356CDA"/>
    <w:rPr>
      <w:caps/>
      <w:color w:val="0082C8"/>
      <w:szCs w:val="18"/>
    </w:rPr>
  </w:style>
  <w:style w:type="paragraph" w:styleId="NoSpacing">
    <w:name w:val="No Spacing"/>
    <w:uiPriority w:val="99"/>
    <w:qFormat/>
    <w:rsid w:val="00DC20FA"/>
    <w:rPr>
      <w:rFonts w:eastAsia="Times New Roman"/>
      <w:sz w:val="24"/>
      <w:szCs w:val="24"/>
    </w:rPr>
  </w:style>
  <w:style w:type="table" w:customStyle="1" w:styleId="SubSubSectionMISCTableMANDATORY">
    <w:name w:val="Sub Sub Section MISC Table MANDATORY"/>
    <w:basedOn w:val="TableNormal"/>
    <w:uiPriority w:val="99"/>
    <w:rsid w:val="00DC20FA"/>
    <w:pPr>
      <w:spacing w:before="80" w:after="80"/>
      <w:ind w:left="170"/>
    </w:pPr>
    <w:rPr>
      <w:rFonts w:eastAsia="Times New Roman" w:cs="Arial"/>
      <w:lang w:eastAsia="en-GB"/>
    </w:rPr>
    <w:tblPr>
      <w:tblStyleRowBandSize w:val="1"/>
      <w:tblInd w:w="1134" w:type="dxa"/>
      <w:tblBorders>
        <w:top w:val="single" w:sz="4" w:space="0" w:color="0082C8"/>
        <w:left w:val="single" w:sz="4" w:space="0" w:color="0082C8"/>
        <w:bottom w:val="single" w:sz="4" w:space="0" w:color="0082C8"/>
        <w:right w:val="single" w:sz="4" w:space="0" w:color="0082C8"/>
        <w:insideH w:val="single" w:sz="4" w:space="0" w:color="A6A6A6"/>
        <w:insideV w:val="single" w:sz="4" w:space="0" w:color="A6A6A6"/>
      </w:tblBorders>
      <w:tblCellMar>
        <w:top w:w="0" w:type="dxa"/>
        <w:left w:w="0" w:type="dxa"/>
        <w:bottom w:w="0" w:type="dxa"/>
        <w:right w:w="108" w:type="dxa"/>
      </w:tblCellMar>
    </w:tblPr>
    <w:tcPr>
      <w:vAlign w:val="center"/>
    </w:tcPr>
    <w:tblStylePr w:type="firstRow">
      <w:pPr>
        <w:wordWrap/>
        <w:spacing w:beforeLines="0" w:beforeAutospacing="0" w:afterLines="0" w:afterAutospacing="0"/>
        <w:ind w:leftChars="0" w:left="170" w:firstLineChars="0" w:firstLine="0"/>
      </w:pPr>
      <w:rPr>
        <w:rFonts w:ascii="Arial" w:hAnsi="Arial"/>
        <w:b w:val="0"/>
        <w:bCs w:val="0"/>
        <w:i w:val="0"/>
        <w:iCs w:val="0"/>
        <w:color w:val="FFFFFF" w:themeColor="background1"/>
        <w:sz w:val="18"/>
        <w:szCs w:val="18"/>
      </w:rPr>
      <w:tblPr/>
      <w:tcPr>
        <w:tcBorders>
          <w:bottom w:val="single" w:sz="4" w:space="0" w:color="0082C8"/>
          <w:insideV w:val="single" w:sz="4" w:space="0" w:color="FFFFFF" w:themeColor="background1"/>
        </w:tcBorders>
        <w:shd w:val="clear" w:color="auto" w:fill="0082C8"/>
      </w:tcPr>
    </w:tblStylePr>
    <w:tblStylePr w:type="firstCol">
      <w:pPr>
        <w:wordWrap/>
        <w:jc w:val="left"/>
      </w:pPr>
      <w:tblPr/>
      <w:tcPr>
        <w:tcBorders>
          <w:right w:val="single" w:sz="4" w:space="0" w:color="5A5A5A"/>
        </w:tcBorders>
        <w:shd w:val="clear" w:color="auto" w:fill="E7E7E7"/>
        <w:vAlign w:val="top"/>
      </w:tcPr>
    </w:tblStylePr>
    <w:tblStylePr w:type="band1Horz">
      <w:tblPr/>
      <w:tcPr>
        <w:tcBorders>
          <w:top w:val="single" w:sz="12" w:space="0" w:color="005DAA"/>
          <w:bottom w:val="nil"/>
        </w:tcBorders>
        <w:shd w:val="clear" w:color="auto" w:fill="FFFFFF" w:themeFill="background1"/>
      </w:tcPr>
    </w:tblStylePr>
    <w:tblStylePr w:type="nwCell">
      <w:tblPr/>
      <w:tcPr>
        <w:tcBorders>
          <w:bottom w:val="single" w:sz="4" w:space="0" w:color="00AAF0"/>
        </w:tcBorders>
        <w:shd w:val="clear" w:color="auto" w:fill="00AAF0"/>
      </w:tcPr>
    </w:tblStylePr>
  </w:style>
  <w:style w:type="table" w:customStyle="1" w:styleId="SubSectionMISCTableMANDATORY">
    <w:name w:val="Sub Section MISC Table MANDATORY"/>
    <w:basedOn w:val="TableNormal"/>
    <w:uiPriority w:val="99"/>
    <w:rsid w:val="00B947F1"/>
    <w:pPr>
      <w:spacing w:before="80" w:after="80"/>
      <w:ind w:left="170"/>
    </w:pPr>
    <w:rPr>
      <w:rFonts w:eastAsia="Times New Roman" w:cs="Arial"/>
      <w:lang w:eastAsia="en-GB"/>
    </w:rPr>
    <w:tblPr>
      <w:tblStyleRowBandSize w:val="1"/>
      <w:tblInd w:w="567" w:type="dxa"/>
      <w:tblBorders>
        <w:top w:val="single" w:sz="4" w:space="0" w:color="0082C8"/>
        <w:left w:val="single" w:sz="4" w:space="0" w:color="0082C8"/>
        <w:bottom w:val="single" w:sz="4" w:space="0" w:color="0082C8"/>
        <w:right w:val="single" w:sz="4" w:space="0" w:color="0082C8"/>
        <w:insideH w:val="single" w:sz="4" w:space="0" w:color="A6A6A6"/>
        <w:insideV w:val="single" w:sz="4" w:space="0" w:color="A6A6A6"/>
      </w:tblBorders>
      <w:tblCellMar>
        <w:top w:w="0" w:type="dxa"/>
        <w:left w:w="0" w:type="dxa"/>
        <w:bottom w:w="0" w:type="dxa"/>
        <w:right w:w="108" w:type="dxa"/>
      </w:tblCellMar>
    </w:tblPr>
    <w:tcPr>
      <w:vAlign w:val="center"/>
    </w:tcPr>
    <w:tblStylePr w:type="firstRow">
      <w:pPr>
        <w:wordWrap/>
        <w:spacing w:beforeLines="0" w:beforeAutospacing="0" w:afterLines="0" w:afterAutospacing="0"/>
        <w:ind w:leftChars="0" w:left="170" w:firstLineChars="0" w:firstLine="0"/>
      </w:pPr>
      <w:rPr>
        <w:rFonts w:ascii="Arial" w:hAnsi="Arial"/>
        <w:b w:val="0"/>
        <w:bCs w:val="0"/>
        <w:i w:val="0"/>
        <w:iCs w:val="0"/>
        <w:color w:val="FFFFFF" w:themeColor="background1"/>
        <w:sz w:val="18"/>
        <w:szCs w:val="18"/>
      </w:rPr>
      <w:tblPr/>
      <w:tcPr>
        <w:tcBorders>
          <w:bottom w:val="single" w:sz="4" w:space="0" w:color="0082C8"/>
          <w:insideV w:val="single" w:sz="4" w:space="0" w:color="FFFFFF" w:themeColor="background1"/>
        </w:tcBorders>
        <w:shd w:val="clear" w:color="auto" w:fill="0082C8"/>
      </w:tcPr>
    </w:tblStylePr>
    <w:tblStylePr w:type="firstCol">
      <w:pPr>
        <w:wordWrap/>
        <w:jc w:val="left"/>
      </w:pPr>
      <w:tblPr/>
      <w:tcPr>
        <w:tcBorders>
          <w:right w:val="single" w:sz="4" w:space="0" w:color="5A5A5A"/>
        </w:tcBorders>
        <w:shd w:val="clear" w:color="auto" w:fill="E7E7E7"/>
        <w:vAlign w:val="top"/>
      </w:tcPr>
    </w:tblStylePr>
    <w:tblStylePr w:type="band1Horz">
      <w:tblPr/>
      <w:tcPr>
        <w:tcBorders>
          <w:top w:val="single" w:sz="12" w:space="0" w:color="005DAA"/>
          <w:bottom w:val="nil"/>
        </w:tcBorders>
        <w:shd w:val="clear" w:color="auto" w:fill="FFFFFF" w:themeFill="background1"/>
      </w:tcPr>
    </w:tblStylePr>
    <w:tblStylePr w:type="nwCell">
      <w:tblPr/>
      <w:tcPr>
        <w:tcBorders>
          <w:bottom w:val="single" w:sz="4" w:space="0" w:color="00AAF0"/>
        </w:tcBorders>
        <w:shd w:val="clear" w:color="auto" w:fill="00AAF0"/>
      </w:tcPr>
    </w:tblStylePr>
  </w:style>
  <w:style w:type="paragraph" w:styleId="Revision">
    <w:name w:val="Revision"/>
    <w:hidden/>
    <w:uiPriority w:val="71"/>
    <w:rsid w:val="00822AB2"/>
    <w:rPr>
      <w:rFonts w:ascii="Arial" w:hAnsi="Arial" w:cs="Arial"/>
    </w:rPr>
  </w:style>
  <w:style w:type="table" w:customStyle="1" w:styleId="ModuleSub-SectionHeading">
    <w:name w:val="Module Sub-Section Heading"/>
    <w:basedOn w:val="TableNormal"/>
    <w:uiPriority w:val="99"/>
    <w:rsid w:val="00ED1D5A"/>
    <w:rPr>
      <w:rFonts w:ascii="Arial" w:eastAsia="Times New Roman" w:hAnsi="Arial" w:cs="Arial"/>
      <w:sz w:val="24"/>
      <w:lang w:eastAsia="en-GB"/>
    </w:rPr>
    <w:tblPr>
      <w:tblInd w:w="0" w:type="dxa"/>
      <w:tblCellMar>
        <w:top w:w="0" w:type="dxa"/>
        <w:left w:w="0" w:type="dxa"/>
        <w:bottom w:w="0" w:type="dxa"/>
        <w:right w:w="0" w:type="dxa"/>
      </w:tblCellMar>
    </w:tblPr>
    <w:tcPr>
      <w:shd w:val="clear" w:color="auto" w:fill="0082C8"/>
      <w:noWrap/>
      <w:vAlign w:val="center"/>
    </w:tcPr>
    <w:tblStylePr w:type="firstRow">
      <w:pPr>
        <w:wordWrap/>
        <w:spacing w:beforeLines="0" w:beforeAutospacing="0" w:afterLines="0" w:afterAutospacing="0"/>
        <w:ind w:leftChars="0" w:left="170" w:firstLineChars="0" w:firstLine="0"/>
      </w:pPr>
    </w:tblStylePr>
    <w:tblStylePr w:type="lastRow">
      <w:pPr>
        <w:wordWrap/>
        <w:spacing w:beforeLines="0" w:beforeAutospacing="0" w:afterLines="0" w:afterAutospacing="0"/>
        <w:ind w:leftChars="0" w:left="170" w:firstLineChars="0" w:firstLine="0"/>
      </w:pPr>
    </w:tblStylePr>
    <w:tblStylePr w:type="lastCol">
      <w:pPr>
        <w:wordWrap/>
        <w:ind w:leftChars="0" w:left="170"/>
        <w:jc w:val="left"/>
        <w:outlineLvl w:val="9"/>
      </w:pPr>
      <w:rPr>
        <w:rFonts w:ascii="Arial" w:hAnsi="Arial"/>
        <w:color w:val="FFFFFF" w:themeColor="background1"/>
        <w:sz w:val="20"/>
      </w:rPr>
    </w:tblStylePr>
  </w:style>
  <w:style w:type="paragraph" w:customStyle="1" w:styleId="ModuleSubSectionHeading">
    <w:name w:val="Module Sub Section Heading"/>
    <w:qFormat/>
    <w:rsid w:val="00ED1D5A"/>
    <w:pPr>
      <w:ind w:left="170"/>
    </w:pPr>
    <w:rPr>
      <w:rFonts w:ascii="Arial" w:eastAsia="Times New Roman" w:hAnsi="Arial" w:cs="Arial"/>
      <w:b/>
      <w:color w:val="FFFFFF" w:themeColor="background1"/>
    </w:rPr>
  </w:style>
  <w:style w:type="paragraph" w:styleId="PlainText">
    <w:name w:val="Plain Text"/>
    <w:link w:val="PlainTextChar"/>
    <w:uiPriority w:val="99"/>
    <w:semiHidden/>
    <w:unhideWhenUsed/>
    <w:rsid w:val="00ED1D5A"/>
    <w:rPr>
      <w:rFonts w:ascii="Consolas" w:hAnsi="Consolas"/>
      <w:sz w:val="21"/>
      <w:szCs w:val="21"/>
    </w:rPr>
  </w:style>
  <w:style w:type="character" w:customStyle="1" w:styleId="PlainTextChar">
    <w:name w:val="Plain Text Char"/>
    <w:basedOn w:val="DefaultParagraphFont"/>
    <w:link w:val="PlainText"/>
    <w:uiPriority w:val="99"/>
    <w:semiHidden/>
    <w:rsid w:val="00ED1D5A"/>
    <w:rPr>
      <w:rFonts w:ascii="Consolas" w:hAnsi="Consolas" w:cs="Arial"/>
      <w:sz w:val="21"/>
      <w:szCs w:val="21"/>
    </w:rPr>
  </w:style>
  <w:style w:type="table" w:customStyle="1" w:styleId="SubSectionIndicatorTableMANDATORY">
    <w:name w:val="Sub Section Indicator Table MANDATORY"/>
    <w:basedOn w:val="TableNormal"/>
    <w:uiPriority w:val="99"/>
    <w:rsid w:val="007254D4"/>
    <w:pPr>
      <w:spacing w:before="80" w:after="80"/>
      <w:ind w:left="170"/>
    </w:pPr>
    <w:rPr>
      <w:rFonts w:eastAsia="Times New Roman" w:cs="Arial"/>
      <w:lang w:eastAsia="en-GB"/>
    </w:rPr>
    <w:tblPr>
      <w:tblStyleRowBandSize w:val="1"/>
      <w:tblInd w:w="567" w:type="dxa"/>
      <w:tblBorders>
        <w:top w:val="single" w:sz="4" w:space="0" w:color="0082C8"/>
        <w:left w:val="single" w:sz="4" w:space="0" w:color="0082C8"/>
        <w:bottom w:val="single" w:sz="4" w:space="0" w:color="0082C8"/>
        <w:right w:val="single" w:sz="4" w:space="0" w:color="0082C8"/>
      </w:tblBorders>
      <w:tblCellMar>
        <w:top w:w="0" w:type="dxa"/>
        <w:left w:w="0" w:type="dxa"/>
        <w:bottom w:w="0" w:type="dxa"/>
        <w:right w:w="108" w:type="dxa"/>
      </w:tblCellMar>
    </w:tblPr>
    <w:tcPr>
      <w:vAlign w:val="center"/>
    </w:tcPr>
    <w:tblStylePr w:type="firstRow">
      <w:pPr>
        <w:wordWrap/>
        <w:spacing w:beforeLines="0" w:beforeAutospacing="0" w:afterLines="0" w:afterAutospacing="0"/>
        <w:ind w:leftChars="0" w:left="170" w:firstLineChars="0" w:firstLine="0"/>
      </w:pPr>
      <w:rPr>
        <w:rFonts w:ascii="Arial" w:hAnsi="Arial"/>
        <w:b w:val="0"/>
        <w:bCs w:val="0"/>
        <w:i w:val="0"/>
        <w:iCs w:val="0"/>
        <w:color w:val="FFFFFF" w:themeColor="background1"/>
        <w:sz w:val="18"/>
        <w:szCs w:val="18"/>
      </w:rPr>
      <w:tblPr/>
      <w:tcPr>
        <w:tcBorders>
          <w:bottom w:val="single" w:sz="4" w:space="0" w:color="0082C8"/>
          <w:insideV w:val="single" w:sz="4" w:space="0" w:color="FFFFFF" w:themeColor="background1"/>
        </w:tcBorders>
        <w:shd w:val="clear" w:color="auto" w:fill="0082C8"/>
      </w:tcPr>
    </w:tblStylePr>
    <w:tblStylePr w:type="firstCol">
      <w:tblPr/>
      <w:tcPr>
        <w:tcBorders>
          <w:right w:val="single" w:sz="4" w:space="0" w:color="5A5A5A"/>
        </w:tcBorders>
        <w:shd w:val="clear" w:color="auto" w:fill="E7E7E7"/>
      </w:tcPr>
    </w:tblStylePr>
    <w:tblStylePr w:type="band1Horz">
      <w:tblPr/>
      <w:tcPr>
        <w:tcBorders>
          <w:top w:val="single" w:sz="12" w:space="0" w:color="005DAA"/>
          <w:bottom w:val="nil"/>
        </w:tcBorders>
        <w:shd w:val="clear" w:color="auto" w:fill="BBD5E9"/>
      </w:tcPr>
    </w:tblStylePr>
    <w:tblStylePr w:type="nwCell">
      <w:tblPr/>
      <w:tcPr>
        <w:tcBorders>
          <w:bottom w:val="single" w:sz="4" w:space="0" w:color="00AAF0"/>
        </w:tcBorders>
        <w:shd w:val="clear" w:color="auto" w:fill="00AAF0"/>
      </w:tcPr>
    </w:tblStylePr>
  </w:style>
  <w:style w:type="table" w:customStyle="1" w:styleId="SubSectionIndicatorTableVOLUNTARY">
    <w:name w:val="Sub Section Indicator Table VOLUNTARY"/>
    <w:basedOn w:val="TableNormal"/>
    <w:uiPriority w:val="99"/>
    <w:rsid w:val="00903B63"/>
    <w:pPr>
      <w:spacing w:before="80" w:after="80"/>
      <w:ind w:left="170"/>
    </w:pPr>
    <w:rPr>
      <w:rFonts w:eastAsia="Times New Roman" w:cs="Arial"/>
      <w:lang w:eastAsia="en-GB"/>
    </w:rPr>
    <w:tblPr>
      <w:tblStyleRowBandSize w:val="1"/>
      <w:tblInd w:w="567" w:type="dxa"/>
      <w:tblBorders>
        <w:top w:val="single" w:sz="4" w:space="0" w:color="595959"/>
        <w:left w:val="single" w:sz="4" w:space="0" w:color="595959"/>
        <w:bottom w:val="single" w:sz="4" w:space="0" w:color="595959"/>
        <w:right w:val="single" w:sz="4" w:space="0" w:color="595959"/>
      </w:tblBorders>
      <w:tblCellMar>
        <w:top w:w="0" w:type="dxa"/>
        <w:left w:w="0" w:type="dxa"/>
        <w:bottom w:w="0" w:type="dxa"/>
        <w:right w:w="108" w:type="dxa"/>
      </w:tblCellMar>
    </w:tblPr>
    <w:tcPr>
      <w:vAlign w:val="center"/>
    </w:tcPr>
    <w:tblStylePr w:type="firstRow">
      <w:pPr>
        <w:wordWrap/>
        <w:spacing w:beforeLines="0" w:beforeAutospacing="0" w:afterLines="0" w:afterAutospacing="0"/>
        <w:ind w:leftChars="0" w:left="170" w:firstLineChars="0" w:firstLine="0"/>
      </w:pPr>
      <w:rPr>
        <w:rFonts w:ascii="Arial" w:hAnsi="Arial"/>
        <w:b w:val="0"/>
        <w:bCs w:val="0"/>
        <w:i w:val="0"/>
        <w:iCs w:val="0"/>
        <w:color w:val="FFFFFF" w:themeColor="background1"/>
        <w:sz w:val="18"/>
        <w:szCs w:val="18"/>
      </w:rPr>
      <w:tblPr/>
      <w:tcPr>
        <w:tcBorders>
          <w:bottom w:val="single" w:sz="4" w:space="0" w:color="0082C8"/>
          <w:insideV w:val="single" w:sz="4" w:space="0" w:color="FFFFFF" w:themeColor="background1"/>
        </w:tcBorders>
        <w:shd w:val="clear" w:color="auto" w:fill="999999"/>
      </w:tcPr>
    </w:tblStylePr>
    <w:tblStylePr w:type="firstCol">
      <w:tblPr/>
      <w:tcPr>
        <w:tcBorders>
          <w:right w:val="single" w:sz="4" w:space="0" w:color="5A5A5A"/>
        </w:tcBorders>
        <w:shd w:val="clear" w:color="auto" w:fill="E7E7E7"/>
      </w:tcPr>
    </w:tblStylePr>
    <w:tblStylePr w:type="band1Horz">
      <w:tblPr/>
      <w:tcPr>
        <w:tcBorders>
          <w:top w:val="single" w:sz="12" w:space="0" w:color="595959"/>
          <w:bottom w:val="nil"/>
        </w:tcBorders>
        <w:shd w:val="clear" w:color="auto" w:fill="F3F3F3"/>
      </w:tcPr>
    </w:tblStylePr>
    <w:tblStylePr w:type="nwCell">
      <w:tblPr/>
      <w:tcPr>
        <w:tcBorders>
          <w:bottom w:val="single" w:sz="4" w:space="0" w:color="00AAF0"/>
        </w:tcBorders>
        <w:shd w:val="clear" w:color="auto" w:fill="737373"/>
      </w:tcPr>
    </w:tblStylePr>
  </w:style>
  <w:style w:type="table" w:customStyle="1" w:styleId="SubSectionMISCTableVOLUNTARY">
    <w:name w:val="Sub Section MISC Table VOLUNTARY"/>
    <w:basedOn w:val="TableNormal"/>
    <w:uiPriority w:val="99"/>
    <w:rsid w:val="00191BC1"/>
    <w:pPr>
      <w:spacing w:before="80" w:after="80"/>
      <w:ind w:left="170"/>
    </w:pPr>
    <w:rPr>
      <w:rFonts w:eastAsia="Times New Roman" w:cs="Arial"/>
      <w:lang w:eastAsia="en-GB"/>
    </w:rPr>
    <w:tblPr>
      <w:tblStyleRowBandSize w:val="1"/>
      <w:tblInd w:w="567" w:type="dxa"/>
      <w:tblBorders>
        <w:top w:val="single" w:sz="4" w:space="0" w:color="595959"/>
        <w:left w:val="single" w:sz="4" w:space="0" w:color="595959"/>
        <w:bottom w:val="single" w:sz="4" w:space="0" w:color="595959"/>
        <w:right w:val="single" w:sz="4" w:space="0" w:color="595959"/>
        <w:insideH w:val="single" w:sz="4" w:space="0" w:color="A6A6A6"/>
        <w:insideV w:val="single" w:sz="4" w:space="0" w:color="A6A6A6"/>
      </w:tblBorders>
      <w:tblCellMar>
        <w:top w:w="0" w:type="dxa"/>
        <w:left w:w="0" w:type="dxa"/>
        <w:bottom w:w="0" w:type="dxa"/>
        <w:right w:w="108" w:type="dxa"/>
      </w:tblCellMar>
    </w:tblPr>
    <w:tcPr>
      <w:vAlign w:val="center"/>
    </w:tcPr>
    <w:tblStylePr w:type="firstRow">
      <w:pPr>
        <w:wordWrap/>
        <w:spacing w:beforeLines="0" w:beforeAutospacing="0" w:afterLines="0" w:afterAutospacing="0"/>
        <w:ind w:leftChars="0" w:left="170" w:firstLineChars="0" w:firstLine="0"/>
      </w:pPr>
      <w:rPr>
        <w:rFonts w:ascii="Arial" w:hAnsi="Arial"/>
        <w:b w:val="0"/>
        <w:bCs w:val="0"/>
        <w:i w:val="0"/>
        <w:iCs w:val="0"/>
        <w:color w:val="FFFFFF" w:themeColor="background1"/>
        <w:sz w:val="18"/>
        <w:szCs w:val="18"/>
      </w:rPr>
      <w:tblPr/>
      <w:tcPr>
        <w:tcBorders>
          <w:bottom w:val="single" w:sz="4" w:space="0" w:color="595959"/>
          <w:insideV w:val="single" w:sz="4" w:space="0" w:color="FFFFFF" w:themeColor="background1"/>
        </w:tcBorders>
        <w:shd w:val="clear" w:color="auto" w:fill="999999"/>
      </w:tcPr>
    </w:tblStylePr>
    <w:tblStylePr w:type="firstCol">
      <w:pPr>
        <w:wordWrap/>
        <w:jc w:val="left"/>
      </w:pPr>
      <w:tblPr/>
      <w:tcPr>
        <w:tcBorders>
          <w:right w:val="single" w:sz="4" w:space="0" w:color="5A5A5A"/>
        </w:tcBorders>
        <w:shd w:val="clear" w:color="auto" w:fill="E7E7E7"/>
        <w:vAlign w:val="top"/>
      </w:tcPr>
    </w:tblStylePr>
    <w:tblStylePr w:type="band1Horz">
      <w:tblPr/>
      <w:tcPr>
        <w:tcBorders>
          <w:top w:val="nil"/>
          <w:bottom w:val="nil"/>
        </w:tcBorders>
        <w:shd w:val="clear" w:color="auto" w:fill="FFFFFF" w:themeFill="background1"/>
      </w:tcPr>
    </w:tblStylePr>
    <w:tblStylePr w:type="nwCell">
      <w:tblPr/>
      <w:tcPr>
        <w:tcBorders>
          <w:bottom w:val="single" w:sz="4" w:space="0" w:color="595959"/>
        </w:tcBorders>
        <w:shd w:val="clear" w:color="auto" w:fill="73737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794962">
      <w:bodyDiv w:val="1"/>
      <w:marLeft w:val="0"/>
      <w:marRight w:val="0"/>
      <w:marTop w:val="0"/>
      <w:marBottom w:val="0"/>
      <w:divBdr>
        <w:top w:val="none" w:sz="0" w:space="0" w:color="auto"/>
        <w:left w:val="none" w:sz="0" w:space="0" w:color="auto"/>
        <w:bottom w:val="none" w:sz="0" w:space="0" w:color="auto"/>
        <w:right w:val="none" w:sz="0" w:space="0" w:color="auto"/>
      </w:divBdr>
    </w:div>
    <w:div w:id="687742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Lorenzo%20Saa/AppData/Local/Temp/Environmental,%20Social%20and%20Governance%20Factors%20at%20Listed%20Companies%20-%20A%20Manual%20for%20Investor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file:///C:/Users/Lorenzo%20Saa/AppData/Local/Temp/KPIs%20for%20ESG%20-%20A%20Guideline%20for%20the%20Integration%20of%20ESG%20into%20Financial%20Analysis%20and%20Corporate%20Valuation"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unpri.org/wp-content/uploads/Integrated_Analysis_20131.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porting@unpri.org"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gsi-alliance.org/"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Lorenzo%20Saa/AppData/Local/Temp/Translating%20environmental,%20social%20and%20governance%20factors%20into%20business%20value"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thew\Downloads\PRI_template_2013_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PRI Document" ma:contentTypeID="0x010100DEEC26B4AC54A94CB80348E87984A1520034D9DCE3130EA447B982FA5C9AC7173E" ma:contentTypeVersion="3" ma:contentTypeDescription="" ma:contentTypeScope="" ma:versionID="cf42fe10385a30f1307283e5a8587616">
  <xsd:schema xmlns:xsd="http://www.w3.org/2001/XMLSchema" xmlns:xs="http://www.w3.org/2001/XMLSchema" xmlns:p="http://schemas.microsoft.com/office/2006/metadata/properties" xmlns:ns2="58f4f345-4ad1-474b-8443-5afef2d903e3" xmlns:ns3="d1f2cb5e-90ed-446c-b55a-c8efd3225fcc" targetNamespace="http://schemas.microsoft.com/office/2006/metadata/properties" ma:root="true" ma:fieldsID="63e983570d11397070dedef85ed1957c" ns2:_="" ns3:_="">
    <xsd:import namespace="58f4f345-4ad1-474b-8443-5afef2d903e3"/>
    <xsd:import namespace="d1f2cb5e-90ed-446c-b55a-c8efd3225fcc"/>
    <xsd:element name="properties">
      <xsd:complexType>
        <xsd:sequence>
          <xsd:element name="documentManagement">
            <xsd:complexType>
              <xsd:all>
                <xsd:element ref="ns2:SharedWithUsers" minOccurs="0"/>
                <xsd:element ref="ns3:tes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f4f345-4ad1-474b-8443-5afef2d903e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1f2cb5e-90ed-446c-b55a-c8efd3225fcc" elementFormDefault="qualified">
    <xsd:import namespace="http://schemas.microsoft.com/office/2006/documentManagement/types"/>
    <xsd:import namespace="http://schemas.microsoft.com/office/infopath/2007/PartnerControls"/>
    <xsd:element name="testField" ma:index="9" nillable="true" ma:displayName="testField" ma:default="0" ma:internalName="testFiel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estField xmlns="d1f2cb5e-90ed-446c-b55a-c8efd3225fcc">false</testField>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69A1FE-288F-4104-8E4E-E1CAF849F1D1}">
  <ds:schemaRefs>
    <ds:schemaRef ds:uri="http://schemas.microsoft.com/sharepoint/v3/contenttype/forms"/>
  </ds:schemaRefs>
</ds:datastoreItem>
</file>

<file path=customXml/itemProps2.xml><?xml version="1.0" encoding="utf-8"?>
<ds:datastoreItem xmlns:ds="http://schemas.openxmlformats.org/officeDocument/2006/customXml" ds:itemID="{6232D454-1EC0-471D-9C15-26D556272C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f4f345-4ad1-474b-8443-5afef2d903e3"/>
    <ds:schemaRef ds:uri="d1f2cb5e-90ed-446c-b55a-c8efd3225f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61D297-67A7-4112-9E80-3458DD33CF4B}">
  <ds:schemaRefs>
    <ds:schemaRef ds:uri="http://schemas.microsoft.com/office/infopath/2007/PartnerControls"/>
    <ds:schemaRef ds:uri="http://purl.org/dc/dcmitype/"/>
    <ds:schemaRef ds:uri="http://www.w3.org/XML/1998/namespace"/>
    <ds:schemaRef ds:uri="58f4f345-4ad1-474b-8443-5afef2d903e3"/>
    <ds:schemaRef ds:uri="http://schemas.microsoft.com/office/2006/documentManagement/types"/>
    <ds:schemaRef ds:uri="http://purl.org/dc/elements/1.1/"/>
    <ds:schemaRef ds:uri="http://schemas.microsoft.com/office/2006/metadata/properties"/>
    <ds:schemaRef ds:uri="http://purl.org/dc/terms/"/>
    <ds:schemaRef ds:uri="d1f2cb5e-90ed-446c-b55a-c8efd3225fcc"/>
    <ds:schemaRef ds:uri="http://schemas.openxmlformats.org/package/2006/metadata/core-properties"/>
  </ds:schemaRefs>
</ds:datastoreItem>
</file>

<file path=customXml/itemProps4.xml><?xml version="1.0" encoding="utf-8"?>
<ds:datastoreItem xmlns:ds="http://schemas.openxmlformats.org/officeDocument/2006/customXml" ds:itemID="{4650668D-5D3C-4FC1-AE08-9EBC946EE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PRI_template_2013_2</Template>
  <TotalTime>1</TotalTime>
  <Pages>11</Pages>
  <Words>3238</Words>
  <Characters>18459</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x</Company>
  <LinksUpToDate>false</LinksUpToDate>
  <CharactersWithSpaces>21654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JOSLYN joseph</dc:creator>
  <cp:lastModifiedBy>Alyssa Heath</cp:lastModifiedBy>
  <cp:revision>16</cp:revision>
  <cp:lastPrinted>2014-10-02T14:45:00Z</cp:lastPrinted>
  <dcterms:created xsi:type="dcterms:W3CDTF">2014-07-29T09:52:00Z</dcterms:created>
  <dcterms:modified xsi:type="dcterms:W3CDTF">2014-10-09T08:54:00Z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0x010100DEEC26B4AC54A94CB80348E87984A1520034D9DCE3130EA447B982FA5C9AC7173E</vt:lpwstr>
  </property>
</Properties>
</file>